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32.2011.295 vom 12. Oktober 2011</w:t>
      </w:r>
    </w:p>
    <w:p>
      <w:r>
        <w:t>TI Tribunale d'appello, 2011-10-12, IT</w:t>
      </w:r>
    </w:p>
    <w:p>
      <w:r>
        <w:rPr>
          <w:b/>
        </w:rPr>
        <w:t xml:space="preserve">Quelle: </w:t>
      </w:r>
      <w:r>
        <w:t>https://mcp.opencaselaw.ch/entscheid/ti_gerichte_32.2011.295</w:t>
      </w:r>
    </w:p>
    <w:p>
      <w:r>
        <w:t>FR: TI_GERICHTE 32.2011.295 du 12 octobre 2011</w:t>
      </w:r>
    </w:p>
    <w:p>
      <w:r>
        <w:t>IT: TI_GERICHTE 32.2011.295 del 12 ottobre 2011</w:t>
      </w:r>
    </w:p>
    <w:p>
      <w:pPr>
        <w:pStyle w:val="Heading2"/>
      </w:pPr>
      <w:r>
        <w:t>Regeste</w:t>
      </w:r>
    </w:p>
    <w:p>
      <w:r>
        <w:t>Nuova domanda. Diniego di prestazioni. Conferma della perizia pluridisciplinare del SAM e della valutazione del consulente in integrazione. Raffronto percentuale dei redditi</w:t>
      </w:r>
    </w:p>
    <w:p>
      <w:pPr>
        <w:pStyle w:val="Heading2"/>
      </w:pPr>
      <w:r>
        <w:t>Erwägungen</w:t>
      </w:r>
    </w:p>
    <w:p>
      <w:r>
        <w:rPr>
          <w:b/>
        </w:rPr>
        <w:t>E. 25</w:t>
      </w:r>
    </w:p>
    <w:p>
      <w:r>
        <w:t>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in una sentenza pubblicata in DTF 136 V 376 il TF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e segg., il TF ha preso posizione sulle critiche alla giurisprudenza federale relativa al valore probatorio delle perizie dei Servizi di accertamento medico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TF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pag. 85, C 85/95 consid. 5d con riferimenti, sentenza H 355/99 del 11 aprile 2000 consid. 3b), i cui costi sono posti a carico dell'assicurazione invalidità (consid. 4.4.2). Il TF ha inoltre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vedi STF 9C_113/2012 del 14 marzo 2012, 8C_426/2011 del 29 settembre 2011, 9C_87/2011 del 1. settembre 2011 e 9C_120/2011 del 25 luglio 2011). Giova qui ricordare che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inoltre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e in particolare le STF 9C_113/2012 del 14 marzo 2012, 8C_426/2011 del 29 settembre 2011, 9C_87/2011 del 1. settembre 2011 e 9C_120/2011 del 25 luglio 2011 per quanto riguarda le perizie raccolte secondo il vecchio standard processuale, questo Tribunale non intravede ragioni che gli impediscano di far proprie le conclusioni cui sono giunti i periti del SAM, i quali hanno compiutamente valutato le differenti affezioni di cui l’assicurata è portatrice, giungendo ad una conclusione logica e priva di contraddizioni che stabilisce, sia nella sua ultima attività di impiegata di commercio/ufficio che in un’attività adeguata rispettosa dei limiti funzionali posti, una capacità lavorativa attuale dell’80%. Quanto all’evoluzione nel tempo, vista la precedente perizia 14 maggio 2008 del SAM (doc. AI 153/1-66) e conformemente al rapporto finale 25 maggio 2011 del dr. __________ (doc. AI 222/1-5), la capacità lavorativa, sia nella sua ultima attività che in un’altra adeguata, è stata, dal gennaio 2004 (a seguito di un peggioramento riferito alle problematiche psichiatriche e neurologiche) del 70% e dal dicembre 2010 (la perizia 6 maggio 2011 del SAM è stata eseguita tra dicembre 2010 e febbraio 2011) dell’80%. La dettagliata ed approfondita valutazioni del SAM non é stata del resto validamente smentita da altri certificati da parte di medici specialisti attestanti nuove patologie. In particolare, per quanto riguarda l’anemia i periti del SAM hanno evidenziato che “(…) la situazione è stabile e sovrapponibile alle precedenti perizie SAM del 2003 e 2008; nel frattempo l’A. è stata valutata a __________ in ambito universitario ed è stata seguita e indagata a più livelli dal parte del Dr. med. __________ senza che una causa dell’anemia sia stata rilevata. Quest’ultima è una patologia che necessita di sostituzione marziale e non giustifica la riduzione della capacità lavorativa. (…)” (doc. AI 218/48) e l’insorgente, senza tuttavia allegare alcuna documentazione medica contrastante, al punto 3.1 del ricorso si è limitata a sostenere che “(…) non è tuttavia comprensibile in che modo l’incerta eziologia dell’anemia della ricorrente possa sminuire la gravità dei sintomi lamentati, che non possono che esercitare, per la loro cronicità e per le importanti conseguenze sulla qualità della vita dell’assicurata, un’evidentissima limitazione della sua residua facoltà lavorativa. Si chiede pertanto che venga esperita una valutazione peritale riguardo alle concrete ripercussioni dell’anemia diagnosticata sulla capacità al guadagno della ricorrente; oggettivamente le considerazioni della Dr.ssa __________ (perizia, pag. 46 seg.) appaiono sbrigative ed eludono senza motivo l’imprescindibile esame di questo punto. (…)” (doc. AI 236/7). Quanto alla valutazione psichiatrica i periti hanno evidenziato, tra l’altro, che “(…) l’A. attesta un lieve miglioramento psicologico perché non è sotto pressione e sotto stress, potendosi riposare maggiormente. Al bisogno assume Stilnox una volta alla settimana. Il Dr. __________, che abbiamo avuto modo di sentire telefonicamente, e che vede saltuariamente l’A., non pone una chiara diagnosi e dichiara di non aver mai attestato inabilità lavorativa dal suo punto di vista. (…)” (doc. AI 218/43). Senza documentazione medica contrastante e per il solo fatto che il dr. __________, nelle annotazioni 27 maggio 2010, ha ritenuto una “(…) incerta evoluzione della problematica emicranica (nel 2008 era descritta una caratteristica evolutiva con allora peggioramento) (…)” (doc. AI 148/1) , non è nemmeno possibile – come pretenderebbe l’insorgente ( “(…) si avanzano seri dubbi sull’attendibilità con cui l’inabilità dal punto di vista neurologico è stata ridotta in sede del recente rapporto 16 maggio 2011 dal 30% al 10% (…)” ; doc. AI 236/9 ) – scostarsi dalle conclusioni dei periti del SAM secondo le quali “(…) le cefalee determinano quindi attualmente un’incapacità lavorativa massima del 10%. È difficile datare a partire da quale momento l’evoluzione delle cefalee sia stata più favorevole, verosimilmente negli ultimi uno-due anni. È verosimile che anche in futuro l’A. continuerà a soffrire d’emicrania e l’evoluzione potrà essere variabile con periodi di cefalee più o meno frequenti. In occasione delle cefalee più intense è possibile che la perizianda sia costretta a interrompere temporaneamente un’eventuale attività lavorativa; attualmente ciò non dovrebbe però causare limitazioni superiori al 10%. (…)” (doc. AI 218/44-45). Quanto alla cumulabilità delle patologie che affliggono l’assi-curata – al punto 4 del ricorso, senza tuttavia che alcun medico si sia espresso precisamente al riguardo, la ricorrente ha contestato che “(…) l’UAI, e prima ancora il SAM, si è infatti limitato a congetturare un’abilità al lavoro pari all’80%, che però, ancora una volta, non corrisponde al cumulo delle percentuali parziali riferite a ciascuna tipologia di affezione (15% per quella reumatologica e 10% per quella neurologica; la somma è dunque 25%, senza contare i disturbi che affliggono la ricorrente e che sono stati ingiustamente trascurati/sottovalutati in sede di perizia (…)” (doc. AI 236/9) – va ribadito che la questione di sapere se i singoli gradi di inabilità si possano sommare e, se del caso, in quale misura, è una problematica squisitamente medica, che di principio il giudice non rimette in discussione (STFA I 338/01 del 4 settembre 2001, pubblicata in RDAT I-2002 n. 72, pag. 485; nella STFA I 606/03 del 19 agosto 2005, l’Alta Corte ha inoltre precisato che il giudizio sul grado complessivo dell’incapacità lavorativa va di regola eseguito nell’ambito di una perizia pluridisciplinare). Ora, i periti del SAM hanno concluso che “(…) l’incapacità lavorativa del 15% dovuta alla problematica reumatologica e del 10% dovuta alla problematica neurologica vanno integrate e non sommate aritmeticamente. Innanzitutto l’incapacità lavorativa neurologica è giustificata da 2 giorni di emicrania al mese, che deve essere considerata sui</w:t>
      </w:r>
    </w:p>
    <w:p>
      <w:r>
        <w:rPr>
          <w:b/>
        </w:rPr>
        <w:t>E. 30</w:t>
      </w:r>
    </w:p>
    <w:p>
      <w:r>
        <w:t>giorni mensili e non giorni lavorativi. […] In considerazione di questo e considerando che viene valutata una riduzione del rendimento per il dolore cronico, le inabilità lavorative vanno integrate e giustificano un’inabilità lavorativa al massimo del 20%. (…)” (doc. AI 218/47-48, la sottolineatura è del redattore) e questo Tribunale non ha alcun motivo per scostarsi da tale valutazione. In questo senso, tanto il richiamo dell’intero incarto dal dr. __________ quanto la domanda di un’ulteriore superperizia giudiziaria (cfr. consid. 1.4) vanno respinti.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qui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 ricorrente non ha del resto nemmeno prodotto l’ulteriore documentazione medica preannunciata con lettera 10 febbraio 2012 (cfr. consid. 1.6). Il TCA, alla luce del tempo trascorso nel frattempo e considerato il fatto che fosse lecito attendersi che i documenti medici preannunciati venissero prodotti “ entro un termine ragionevole”, deve concludere che l'insorgente ha rinunciato alla produzione di ulteriori atti medici (cfr., al riguardo, STF 8C_45/2010 del 26 marzo 2010, con la quale il TF ha confermato la STCA 35.2009.86 del 10 dicembre 2009 ). Quanto al certificato 26 luglio 2011 (doc. A3) e al rapporto 31 ottobre 2011 indirizzato all’avv. __________ (doc. A4), negli stessi il dr. __________, FMH in medicina interna, ha attestato un’inabilità lavorativa del 100% dal 24 dicembre 2003 in avanti sulla base delle diagnosi note e considerato “(…) un grave stato ansioso-depressivo per il quale segue sempre un trattamento specialistico. (…)” (doc. A4). Lo stesso sanitario ha poi concluso che “(…) non vi sono dei cambiamenti significativi rispetto a quanto segnalato in passato (…)” (doc. A4). Ora, a prescindere dal fatto che il dr. __________ non è specialista in materia, va qui evidenziato che la dr.ssa __________, specialista in psichiatria, nel consulto 18 febbraio 2011 (doc. AI 221/1-5) ha, tra l’altro, rilevato che “(…) oggi io rilevo un quadro di fatto sovrapponibile a quanto registrato dalla collega __________ nel 2003: nulla di maggiore in atto ma un quadro somatoforme e un DP non scompensato che a mio avviso ad oggi non producono alcuna percentuale di IL per motivi psichiatrici. […] Ritengo che il soggetto sia in grado di svolgere tutte le altre attività teoricamente esigibili, purché compatibili con livello culturale, età, quadro fisico e attitudini personali nella stessa percentuale già detta (abile al 100%) da subito. (…)” (doc. AI 221/4-5). Del resto, anche avuto riguardo al rapporto 31 ottobre 2011 del dr. __________, il dr. __________, nelle annotazioni 18 novembre 2011, ha osservato che “(…) dall’attuale certificazione non risulta una modifica dello stato di salute dell’assicurata, anzi si conferma in pratica l’assenza di cambiamenti significativi. (…)” (IV/bis). Lo scritto 12 gennaio 2011 (doc. A2) del dr. __________, FMH in chirurgia, è invece già stato menzionato negli atti (cfr. doc. AI 218/20) ed é pertanto considerato dai periti del SAM. In conclusione, rispecchiando la perizia pluridisciplinare 6 maggio 2011 del SAM tutti i criteri di affidabilità e completezza richiesti dalla giurisprudenza (cfr. consid. 2.8) e non essendo provato un peggioramento duraturo con conseguenze sulla capacità lavorativa dopo il mese di maggio 2011 e prima del 12 ottobre 2011, a ragione l’Ufficio AI ha concluso per una capacità lavorativa, tanto nell’abituale quanto in un’altra attività adeguata, del 70% dal gennaio 2004 e dell’80% dal dicembre 2010. 2.10.   Per quel che concerne la valutazione economica, conformemente alla STCA di rinvio, l’Ufficio AI ha interpellato il consulente in integrazione che – fatte proprie le valutazioni mediche – ha concluso: “(…) la problematica delle cefalee, che nel mio precedente rapporto portava ad escludere un reinserimento professionale, sembrerebbero meno grave di quanto descritto in precedenza (molto meno assenze per questo motivo). Sono adeguate attività leggere, ergonomiche e che le dia la possibilità di alternare la posizione al bisogno (per il dettaglio delle limitazioni funzionali si veda i rapporti medici citati sopra). […] L’attività di impiegata d’ufficio è adeguata allo stato di salute in forma quasi completa (IL 20%) e con una riduzione della capacità lavorativa come in altre attività. Oltre a questo genere di attività, sono adeguate attività leggere ed ergonomiche quindi ad esempio lavori di fabbrica o di vendita per esempio in un chiosco. […] Non si propongono provvedimenti professionali in quanto l’attività abituale dell’assicurata è esigibile nella stessa forma rispetto ad altre attività. Se l’assicurata ne facesse richiesta, si resta a disposizione per fornire un aiuto al collocamento. (…)” (doc. AI 223/2). Quanto alla censura della ricorrente la quale – partendo tuttavia da una diversa valutazione medica – ha sostenuto che “(…) l’imprevedibilità degli episodi emicranici, in particolare, rende praticamente impossibile la collocabilità dell’assicurata. Non si vede come un datore di lavoro possa essere disposto ad assumere una segretaria spesso costretta ad assentarsi da un giorno all’altro, senza preavviso, vanificando ogni possibilità di pianificare con il necessario anticipo la sostituzione, e impedendo di affidarle mansioni, anche urgenti, di una certa durata e a breve scadenza. (…)” (doc. AI 236/9), il TCA rileva quanto segue. La questione relativa alle attività professionali concretamente realizzabili è di competenza del consulente in integrazione professionale (STF 9C_13/2007 del 31 marzo 2008, consid. 3; Meyer, Bundesgesetz über die Invalidenversicherung, in: Rechtsprechung des Bundesgericht im Sozialversicherungsrecht, 2010, ad art. 28a, p. 348). Va poi evidenziato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 332 consid. 3b). Ritenuta la suenunciata giurisprudenza, questo Tribunale non ha nel caso concreto motivo per mettere in dubbio le suenunciate conclusioni del consulente in integrazione che non sono, del resto, nemmeno state puntualmente contestate. In concreto, potendo l’insorgente lavorare ancora nella sua attività abituale dal gennaio 2004 al 70% e dal dicembre 2010 all’80% è quindi indicato un raffronto percentuale dei redditi (DTF 114 V 313 consid. 3a e riferimenti; STF 9C_776/2007 del 14 agosto 2008 e I 759/2005 del 21 agosto 2006; Omlin, Die Invalidität in der obligatorischen Unfallversicherung, tesi Friburgo 1995, pag. 154). In effetti, per la giurisprudenza se il danno alla salute non è tale – come in casu, in base alle risultanze peritali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Ne consegue che il grado d’invalidità non raggiunge la soglia pensionabile del 40% (cfr. consid. 2.4). 2.11.   In simili circostanze, visto tutto quanto precede, è quindi a ragione che l’Ufficio AI ha negato il diritto a prestazioni.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della ricorrente. 2.13.   L’assicurata ha formulato istanza di assistenza giudiziaria tendente all’esenzione dalle tasse e spese processuali e all’ammissione del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ed economica hanno permesso di accertare con la dovuta chiarezza il grado d’invalidità e l’insorgente, anche se patrocinata da un legale, non ha apportato alcun valido elemento atto a contraddire o a mettere in dubbio tali valutazioni, in particolare quella medica. All’insorgente che, lo si ribadisce, in corso di procedura ricorsuale non ha prodotto alcuna documentazione medica idonea a contestare le valutazioni dei periti del SAM e dei medici SMR, non poteva sfuggire la necessità di documentare debitamente le allegazioni secondo le quali le valutazioni peritali (si trattava della terza perizia pluridisciplinare del SAM) non fossero valide e/o le ragioni che rendessero verosimile una rilevante modifica del suo stato di salute subentrata prima della decisione impugnata del 12 ottobre 2011. In simili condizioni, non essendo realizzato uno dei presupposti (cumulativi) l'istanza tendente all’esonero delle spese e tasse di giustizia e all’ammissione del gratuito patrocinio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