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32.2011.275 vom 22. September 2011</w:t>
      </w:r>
    </w:p>
    <w:p>
      <w:r>
        <w:t>TI Tribunale d'appello, 2011-09-22, IT</w:t>
      </w:r>
    </w:p>
    <w:p>
      <w:r>
        <w:rPr>
          <w:b/>
        </w:rPr>
        <w:t xml:space="preserve">Quelle: </w:t>
      </w:r>
      <w:r>
        <w:t>https://mcp.opencaselaw.ch/entscheid/ti_gerichte_32.2011.275</w:t>
      </w:r>
    </w:p>
    <w:p>
      <w:r>
        <w:t>FR: TI_GERICHTE 32.2011.275 du 22 septembre 2011</w:t>
      </w:r>
    </w:p>
    <w:p>
      <w:r>
        <w:t>IT: TI_GERICHTE 32.2011.275 del 22 settembre 2011</w:t>
      </w:r>
    </w:p>
    <w:p>
      <w:pPr>
        <w:pStyle w:val="Heading2"/>
      </w:pPr>
      <w:r>
        <w:t>Regeste</w:t>
      </w:r>
    </w:p>
    <w:p>
      <w:r>
        <w:t>Corretta la decisione con la quale l'UAI ha attribuito all'assicurato una rendita di invalidità limitata nel tempo,poi soppressa a partire dal mese di maggio 2005,in mancanza di un grado di invalidità pensionabile dopo tale data</w:t>
      </w:r>
    </w:p>
    <w:p>
      <w:pPr>
        <w:pStyle w:val="Heading2"/>
      </w:pPr>
      <w:r>
        <w:t>Erwägungen</w:t>
      </w:r>
    </w:p>
    <w:p>
      <w:r>
        <w:rPr>
          <w:b/>
        </w:rPr>
        <w:t>E. 25</w:t>
      </w:r>
    </w:p>
    <w:p>
      <w:r>
        <w:t>aprile 2005; DTF 120 V 237; DTF 117 V 241; DTF 113 V 159). Quando una causa viene rinviata dal Tribunale federale ad un'autorità inferiore, quest'ultima deve dare alle parti una nuova occasione di esprimersi (cfr. sentenza C 89/03 del 2 luglio 2007).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2.5.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2.6.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2.7. Nella decisione del 22 settembre 2011, l’Ufficio AI ha attribuito all’assicurato una rendita intera di invalidità dal 1° agosto 2002 al 30 aprile 2005, sopprimendola poi a partire dal 1° maggio 2005, ritenuto che dalla perizia psichiatrica eseguita dal Centro peritale è emerso che l’interessato, affetto da distimia, non presenta un grado di invalidità pensionabile dopo tale data. Il TCA è, quindi, ora chiamato a valutare, alla luce di quanto esposto ai considerandi 2.4., 2.5. e 2.6., se l’UAI ha correttamente o meno soppresso la rendita spettante a RI 1 a fare tempo dal 1° maggio 2005. 2.8.   Nel caso di specie, l’UAI, conformemente a quanto stabilito dal TCA nella sentenza di rinvio 32.2010.123 del 14 dicembre 2010, con lo scopo di accertare in maniera approfondita lo stato di salute dal profilo psichiatrico dell’assicurato, ha affidato al Centro Peritale per le Assicurazioni Sociali il mandato di esperire una perizia psichiatrica (dr. __________ / dr. __________). Il dr. __________, spec. FMH in psichiatria e psicoterapia e il dr. __________, spec. FMH in psichiatria e psicoterapia, nel rapporto del 22 marzo 2011, dopo aver esposto l’anamnesi del paziente, i dati soggettivi, quelli oggettivi e la terapia psichiatrica attuale, hanno posto la diagnosi con ripercussioni sulla capacità lavorativa di “Distimia (ICD10; F34.1)”. Quanto alla capacità lavorativa, il dr. __________ e il dr. __________ hanno ritenuto che, “considerata l’assenza di un disturbo psichiatrico maggiore o di un disturbo di personalità clinicamente rilevante e sulla base di sufficienti risorse psicologiche e per la relativamente giovane età”, l’assicurato conserva una capacità lavorativa del 70%, dal mese di maggio 2005 (doc. 150-7). Nel complemento peritale del 3 maggio 2011, in risposta ad una richiesta di precisazioni da parte del SMR, il dr. __________ ha specificato quanto segue: " Queste le mie considerazioni in merito a quanto da voi richiesto in data 18.4.2011. Come ho avuto modo di descrivere nell’ambito dell’accertamento peritale psichiatrico allestito in data 22.3.2011, non è stata rilevata alcuna destrutturazione patologica della personalità del peritando. Rispetto alla diagnosi avanzata di distimia, concordo con lo psichiatra curante anche se non nella quantificazione dell’inabilità lavorativa da essa derivante. A tale proposito va detto che si tratta di una condizione depressiva non marcata ma persistente e nel caso in oggetto ad andamento cronico. Il peritando continua a presentare un tono dell’umore deflesso, si stanca facilmente, non ha più interessi se non quelli che concernono direttamente la propria vita, vive isolato e rimugina continuamente sulla propria condizione di menomato fisico il che gli determina frequenti stati tensivi con irritabilità e nervosismo. Ribadisco l’aspetto legato alla non particolare entità di tale quadro psicopatologico, ma è innegabile la sua presenza e che in quanto tale interferisce con la piena funzionalità lucrativa del peritando, seppure in misura non superiore al 30%. Analogamente sull’arco dell’intera giornata lavorativa c’è un rendimento ridotto del 30%.” (Doc. 152-2) Nel rapporto medico del 19 maggio 2011, il dr. __________ del SMR, spec. FMH in medicina generale (sul diritto per gli assicurati di conoscere la specializzazione dei medici del SMR, cfr. SVR 2008 IV Nr. 13) , posta la diagnosi principale con influsso sulla capacità lavorativa di “trauma di schiacciamento mano sinistra (__________)” e, quale diagnosi senza influsso sulla capacità lavorativa, quella di “distimia (ICD10-F34.1)”, ha osservato: " Nell’attuale perizia il dr. __________ nega espressamente la presenza di ulteriore patologia psichiatrica al di fuori della problematica di distimia. L’impedimento del 30% dovuto a distimia in assenza di ulteriore problematica psichica non permette di riconoscere la presenza di una problematica invalidante nel senso della legge. Trova quindi conferma la decisione UAI del 28.4.2009.” (Doc. 153-3) 2.9.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 2.10.   Nell’evenienza concreta, questo Tribunale, chiamato a verificare innanzitutto se lo stato di salute dell’assicurato è stato accuratamente vagliato dall’amministrazione prima dell’emissione della decisione qui impugnata, non ha motivo per mettere in dubbio la valutazione del dr. __________ del SMR, il quale ha considerato che l’interessato – affetto, come emerge dalla perizia specialistica dei medici del CPAS, da distimia – vada ritenuto totalmente abile al lavoro. Nel referto peritale del 22 marzo 2011, il dr. __________ e il dr. __________ del CPAS, posta la diagnosi di “distimia (ICD10-F34.1)” (doc. 150-6), hanno considerato l’assicurato inabile al lavoro al 30% a partire dal mese di maggio 2005. Nonostante questa valutazione di un’incapacità lavorativa del 30% operata dai medici del CPAS, il dr. __________ del SMR, nel suo rapporto medico del 19 maggio 2011, ha considerato l’assicurato pienamente abile al lavoro dal profilo psichiatrico, sottolineando che la diagnosi di distimia non ha un carattere invalidante, non essendo accompagnata da una ulteriore patologia psichiatrica (doc. 153-3). Il TCA concorda con questa valutazione del medico del SMR. Nel referto peritale del 22 marzo 2011, infatti, i medici del CPAS - dopo avere indicato che “non sono stati rilevati inoltre deficit personologici tali da rivestire un significato nosologico ben definito in tal senso quanto più che altro la tendenza passiva e l’attesa che le istituzioni gli risolvano i problemi. In altre parole appare arrocato in una posizione vittimistica dominata dalla convinzione di avere diritto a godere di una rendita di invalidità senza interrogarsi sulle proprie reali capacità di fornire prestazioni lucrative superiori alle attuali” (doc. 150-6) - hanno espressamente concluso che, a livello psicologico e mentale, l’assicurato presenta “unicamente” una psicopatologia di tipo distimico, escludendo la presenza “di un disturbo psichiatrico maggiore o di un disturbo di personalità clinicamente rilevante” (doc. 150-7). Nel referto del 3 maggio 2011, poi, il dr. __________ del CPAS ha ribadito che “non è stata rilevata alcuna destrutturazione patologica della personalità del peritando” (doc. 152-2). Alla luce di queste chiare indicazioni da parte degli specialisti del CPAS e considerata la giurisprudenza federale in materia (cfr. STF 9C_294/2008 del 19 marzo 2009; I 488/04 del 31 gennaio 2006; I 834/04 e I 46/05 del 19 aprile 2006; I 938/05 del 24 agosto 2006; I 649/06 del 13 marzo 2007; I 76/07 del 24 gennaio 2008), già diffusamente esposta nella precedente sentenza 32.2010.123 del 14 ottobre 2010 - secondo la quale la diagnosi di distimia non è, in quanto tale, invalidante, ma può diventarlo quando è associata ad altri disturbi gravi della personalità (cfr. doc. 139/21-28) - il TCA non può che concordare con la valutazione del dr. __________ del SMR a proposito del carattere non invalidante della patologia dell’interessato. Del resto, il TCA rileva che il Tribunale federale ha ancora una volta ribadito la propria giurisprudenza in una sentenza 9C_922/2009 del 9 luglio 2010, nella quale ha confermato la correttezza della decisione dell’amministrazione, avallata dai primi giudici, di sopprimere, in sede di revisione, il diritto ad un quarto di rendita di invalidità del quale beneficiava un’assicurata. In tale occasione, la nostra Massima Istanza ha ritenuto corretta la valutazione del SMR di considerare l’assicurata, affetta da distimia e da disturbo della personalità con tratti immaturi e dipendenti, pienamente abile al lavoro in attività adatte, distanziandosi in tal modo dalle risultanze della perizia psichiatrica, che concludeva per contro per un’incapacità lavorativa del 40%. L’Alta Corte ha infatti rilevato che: " 3. Il ressort du jugement attaqué que les diagnostics de syndrome douloureux somatoforme persistant (F45.4) et de trouble dépressif récurrent d'épisode moyen sans syndrome somatique (F33.1) posés par les médecins du COMAI dans leur expertise du 19 février 2002, en raison desquels la recourante a bénéficié de l'octroi d'un quart de rente d'invalidité, n'ont pas été retenus par les experts de la Clinique X.________ dans leur rapport du 12 décembre 2008, qui ont écarté l'existence d'une fibromyalgie et posé les diagnostics de dysthymie et de trouble de la personnalité avec traits immatures et dépendants. Les premiers juges, relevant que les experts du COMAI et de la Clinique X.________ avaient apprécié de façon similaire le taux d'incapacité de travail en le fixant à 40%, ont constaté une amélioration de l'état de santé de l'assurée sur la base des diagnostics retenus par les experts de la Clinique X.________ et l'existence d'une capacité de travail exigible de 100% dans un emploi adapté sur la base de l'appréciation du médecin du SMR. 3.1 Quoi qu'en dise la recourante, la juridiction cantonale a pris en compte l'expertise psychiatrique du docteur B.________. Même si le rapport de ce médecin du 6 janvier 2009 n'est pas mentionné expressément dans le jugement attaqué, ses conclusions en ce qui concerne les dysthymie et trouble de la personnalité et la diminution de la capacité de travail de 40% sur le plan psychiatrique figurent sous ch. 7 de l'état de fait du jugement du 22 septembre 2009, telles qu'elles se fondent sur l'examen psychiatrique du 27 novembre 2008 et sont rapportées par le docteur R.________, expert principal, en pages 12 et 13 de l'expertise pluridisciplinaire du 12 décembre 2008. 3.2 De l'avis des premiers juges, on voit mal que le diagnostic de dysthymie avec un trouble de la personnalité de type infantile et dépendant puisse justifier une incapacité de travail de 40%, d'autant moins que les experts ont précisé que l'assurée ne présentait pas de signes de dépression majeure, mais souffrait de la persistance d'une humeur triste et chronique. C'est la raison pour laquelle ils se sont écartés des conclusions des experts de la Clinique X.________ en ce qui concerne la capacité de travail sur le plan psychiatrique. Cela n'est nullement discuté par la recourante, dont le grief de violation du droit d'être entendu n'est pas motivé de manière suffisante pour que le Tribunal fédéral puisse l'examiner (art. 106 al. 2 LTF; ATF 135 III 127 consid. 1.6 p. 130 et l'arrêt cité, 134 II 244 consid. 2.2 p. 246). 3.3 La constatation d'une amélioration de l'état de santé de l'assurée sur la base des diagnostics retenus par les experts de la Clinique X.________ et de l'existence d'une capacité de travail exigible de 100% dans un emploi adapté sur la base de l'appréciation du médecin du SMR n'apparaît pas manifestement inexacte. La recourante ne cherche même pas, par une argumentation spécifique, à démontrer le contraire. Ainsi, dans ses lettres des 10 mars et 22 avril 2009, le docteur U.________ n'a fait état d'aucun élément objectivement vérifiable qui aurait été ignoré dans le cadre de l'expertise pluridisciplinaire du 12 décembre 2008 et de l'avis médical SMR du</w:t>
      </w:r>
    </w:p>
    <w:p>
      <w:r>
        <w:rPr>
          <w:b/>
        </w:rPr>
        <w:t>E. 26</w:t>
      </w:r>
    </w:p>
    <w:p>
      <w:r>
        <w:t>janvier 2009 et qui soit suffisamment pertinent pour remettre en cause l'appréciation du médecin du SMR (arrêt I 514/06 du 25 mai 2007 consid. 2.2.1, in SVR 2008 IV Nr. 15 p. 43). 3.4 Le jugement attaqué, qui constate que les conditions étaient réunies pour supprimer le droit de la recourante à un quart de rente d'invalidité par la voie de la révision, est ainsi conforme au droit fédéral (supra, consid. 2). Le recours est mal fondé.” A nulla vale il riferimento alla STF I 338/2001 del 4 settembre 2001, cui ha fatto cenno il patrocinatore nello scritto del 28 novembre 2011. A prescindere, infatti, dalla considerazione che la sentenza federale citata riguardava il caso di un’assicurata affetta da patologie diverse rispetto a quelle che presenta il ricorrente – soffrendo quell’assicurata di una nevrosi depressiva (all’origine di un rallentamento ideoverbale, di una perdita d'iniziativa e di un facile affaticamento) e di un disturbo reumatologico invalidante, (consistente in una fibromialgia di tipo primario con sindrome panvertebrale su alterazioni statiche ed iniziali alterazioni degenerative alla colonna) - resta il fatto che, come ampiamente esposto in precedenza, la distimia che affligge RI 1, pur potendo comportare una riduzione dell’attitudine al lavoro, non determina, in quanto tale, un danno alla salute invalidante, ai sensi dell a giurisprudenza federale in materia, non essendo accompagnata da altre diagnosi, come ad esempio da un disturbo serio della personalità (cfr. STF 9C_294/2008 del 19 marzo 2009; I 488/04 del 31 gennaio 2006; I 834/04 e I 46/05 del 19 aprile 2006; I 938/05 del 24 agosto 2006; I 649/06 del 13 marzo 2007; I 76/07 del 24 gennaio 2008) . Quanto alla censura ricorsuale relativa alla presunta mancata presa in considerazione, nella decisione impugnata, delle affezioni somatiche dell’interessato, il TCA si limita a ribadire che la stessa non può essere condivisa, alla luce di quanto già indicato da questo Tribunale nella precedente sentenza di rinvio 32.2010.123 del 14 dicembre 2010 (cfr. doc. 139). In quell’occasione, infatti, come correttamente indicato dall’UAI , il TCA ha già avuto modo di indicare che, dal profilo somatico, non vi era ragione per discostarsi dalla valutazione del dr. __________, il quale, pur riconoscendo un’incapacità lavorativa del 75% nelle precedenti attività, aveva potuto confermare l’esistenza di una capacità lavorativa completa dell’assicurato in attività adeguate, rispettose delle sue limitazioni funzionali, come già precedentemente valutato in ambito infortunistico (cfr. doc. 139-18). Queste conclusioni, del resto, non sono state smentite in sede ricorsuale da altre certificazioni medico-specialistiche attestanti delle patologie somatiche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L’altra censura ricorsuale, relativa al mancato cumulo delle incapacità lavorative derivanti dalle patologie somatiche e da quelle psichiatriche, non merita, a mente del TCA, di essere ulteriormente approfondita, ritenuto che, nel caso di specie, l’assicurato non presenta, dal profilo somatico, alcuna incapacità lavorativa nello svolgimento di attività adeguate. In conclusione, rispecchiando la perizia dei medici del CPAS e la valutazione del SMR i criteri di affidabilità e completezza richiesti dalla giurisprudenza (cfr. consid. 2.9.),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presenta un’abilità lavorativa del 100% in attività adeguate, rispettose dei suoi limiti funzionali, a partire dal mese di febbraio 2005, come già stabilito dall’assicuratore infortuni. 2.11.   Si tratta ora di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come correttamente ritenuto dall’amministrazione, i dati del 2005 (visto che è in quell’anno che è avvenuta la soppressione della rendita). Nel caso di specie, l’Ufficio AI - confermando quanto già determinato dall’assicuratore infortuni nella decisione del 27 gennaio 2006 (doc. 8-3 inc. LAINF) e ribadito nella decisione su opposizione del 7 giugno 2006 (cfr. doc. 20-4 inc. LAINF), cresciuta incontestata in giudicato - ha stabilito che il grado di invalidità dell’interessato corrisponde al 20%. Il TCA può fare proprio il calcolo effettuato dall’assicuratore infortuni, rimasto peraltro incontestato in sede ricorsuale, sottolineando come sia il reddito da valido, sia quello da invalido, siano stati determinati dall’assicuratore LAINF sulla base dei dati statistici nazionali di cui alla Tabella TA1. Pertanto, il grado di invalidità dell’assicurato in attività leggere adeguate corrisponde alla percentuale di riduzione, del 20%, applicata per tenere conto delle circostanze personali. Tale percentuale, incontestata, del 20%, può essere confermata da questo Tribunale, tanto più se si considera che per costante giurisprudenza il giudice non può scostarsi dalla valutazione dell’amministrazione senza fondati motivi (cfr. DTF 137 V 71; DTF 126 V 80 consid. 5b/dd e 6). Ora, visto il grado di invalidità inferiore al 40% nello svolgimento di altre attività adeguate, l’Ufficio AI ha di conseguenza rettamente negato l’attribuzione di una rendita a partire dal 1° maggio 2005. Al riguardo va evidenziato che dopo l’attribuzione di una rendita intera dal 1° agosto 2002 al 30 aprile 2005, l’UAI ha soppresso il diritto alla rendita a partire dal 1° maggio 2005, in quanto, giusta l’art. 88a OAI,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In concreto , come visto in precedenza (cfr. consid. 2.10.), l’assicurato è da considerare abile al lavoro al 100% a partire dal mese di febbraio 2005. Di conseguenza, i tre mesi dopo il subentrare della capacità lavorativa del 100% dell’assicurato, ex art. 88a OAI, vengono a scadere il 30 aprile 2005, come correttamente ritenuto dall’UAI (cfr. SVR 2006 IV Nr. 13; STFA I 632/05 del 25 ottobre 2006). Nella misura in cui l’UAI ha rifiutato il riconoscimento di una rendita di invalidità dopo il 30 aprile 2005, la decisione del 22 settembre 2011 deve, perciò, essere confermata.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