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32.2011.267 vom 16. September 2011</w:t>
      </w:r>
    </w:p>
    <w:p>
      <w:r>
        <w:t>TI Tribunale d'appello, 2011-09-16, IT</w:t>
      </w:r>
    </w:p>
    <w:p>
      <w:r>
        <w:rPr>
          <w:b/>
        </w:rPr>
        <w:t xml:space="preserve">Quelle: </w:t>
      </w:r>
      <w:r>
        <w:t>https://mcp.opencaselaw.ch/entscheid/ti_gerichte_32.2011.267</w:t>
      </w:r>
    </w:p>
    <w:p>
      <w:r>
        <w:t>FR: TI_GERICHTE 32.2011.267 du 16 septembre 2011</w:t>
      </w:r>
    </w:p>
    <w:p>
      <w:r>
        <w:t>IT: TI_GERICHTE 32.2011.267 del 16 settembre 2011</w:t>
      </w:r>
    </w:p>
    <w:p>
      <w:pPr>
        <w:pStyle w:val="Heading2"/>
      </w:pPr>
      <w:r>
        <w:t>Regeste</w:t>
      </w:r>
    </w:p>
    <w:p>
      <w:r>
        <w:t>Corretta la decisione con la quale l'UAI,in sede di nuova domanda e dopo avere ordinato una perizia SAM,ha rifiutato all'assicurato il diritto a prestazioni,in difetto di un grado di invalidità pensionabile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peritale pluridisciplinare dei medici del SAM, da considerare dettagliata, approfondita e quindi rispecchiante i parametri giurisprudenziali sopra ricordati. Nel rapporto peritale del 29 settembre 2010, i medici del SAM, tenuto conto delle affezioni somatiche e psichiche accertate in sede peritale, hanno ritenuto l’interessato totalmente inabile al lavoro nella sua precedente attività di operaio generico (doc. 148-23), ma abile al lavoro al 75% in attività adeguate, rispettose dei suoi limiti funzionali, in maniera invariata rispetto a quanto stabilito nella precedente perizia del 22 dicembre 2005 (doc. 148-26). Il TCA non ha motivo per distanziarsi da queste conclusioni, che, del resto, non sono state smentite, quanto agli aspetti di natura somatica, da altre certificazioni medico-specialistiche attestanti delle patologie maggiormente invalidanti. Questo Tribunale rileva, infatti, che l’assicurato non ha contestato, tramite la presentazione di nuovi certificati medico-specialistici, né la valutazione reumatologica del dr. __________, né quella neurologica del dr. __________ e neppure quella cardiologica del dr. __________.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L’assicurato si è limitato a criticare le conclusioni peritali dei medici del SAM producendo un referto medico del dr. __________, specialista FMH in psichiatria e psicoterapia e dello psicologo curante, dott. __________ (doc. 159-1) e una presa di posizione, tramite messaggio di posta elettronica, del dott. __________. Nel referto del 29 luglio 2011, il dr. __________ e lo psicologo dott. __________ hanno indicato che l’assicurato, affetto da “una sindrome mista ansioso depressiva con somatizzazioni multiple, disturbo somatoforme da dolore persistente, disturbo evitante di personalità e ritardo mentale lieve”, presenta “secondo le nostre constatazioni cliniche – le quali tengono conto sia delle problematiche internistiche e cardiologiche sia delle problematiche psicopatologiche – una totale incapacità lavorativa dal 1988 ad oggi” (doc. 159-1). Nel messaggio di posta elettronica del 14 ottobre 2011, lo psicologo dott. __________ ha contestato la valutazione peritale psichiatrica della dr.ssa __________, in quanto, a suo avviso, sarebbe viziata da “importanti lacune metodologiche”, essendo stata resa senza effettuare “alcuna rilevazione psicodiagnostica e senza applicare alcuno strumento psicometrico suggerito dalla comunità scientifica internazionale di riferimento” (doc. C). Nelle annotazioni mediche dell’8 novembre 2011, il dr. __________ e la dr.ssa __________ del SMR hanno rilevato, a proposito della diagnosi di ritardo mentale lieve posta dal dr. __________ e dallo psicologo dott. __________ nel referto del 29 luglio 2011, che tale diagnosi, oltre a non figurare nel certificato del 4 aprile 2008 dello stesso psichiatra curante, “è una patologia che compare in età infantile”, aggiungendo che “nel caso specifico l’assicurato ha sempre mostrato un funzionamento personale sufficiente ad esempio a livello scolastico (nessuna bocciatura nelle scuole dell’obbligo). Inoltre egli è sempre riuscito a mantenere un funzionamento lavorativo adeguato fino alla fine degli anni ’90, quando inizia la problematica fisica. Nessun perito (tre perizie agli atti psichiatriche) ha mai evidenziato elementi che facessero ipotizzare un ritardo mentale, ma solo una personalità semplice dal punto di vista intellettivo. Dalle tre perizie non emergono quindi elementi che facciano ipotizzare un ritardo mentale, tantomeno una ridotta capacità lavorativa legata alle funzioni cognitive” (doc. V/bis). Il TCA non ha motivo per distanziarsi da queste considerazioni, ben motivate, espresse dal dr. __________ e dalla dr.ssa __________ del SMR. Dagli atti all’incarto emerge, infatti, che l’assicurato è stato sottoposto, negli anni, a tre valutazioni peritali psichiatriche, ma in nessuna occasione gli specialisti in psichiatria che hanno avuto modo di visitare l’interessato, pur riscontrando una certa limitatezza dal punto di vista intellettivo, hanno posto la diagnosi di ritardo mentale. Nel referto peritale del 27 settembre 2005, infatti, il dr. __________, spec. FMH in psichiatria e psicoterapia, dopo avere indicato che l’assicurato presenta una “struttura psicointellettuale semplice, di scarsa cultura”, ha posto la diagnosi di “sindrome da disadattamento con prevalente disturbo di altri aspetti emozionali (ICD10-F43.23), prolungata, di entità lieve” (doc. 73-4). Il dr. __________, spec. FMH in psichiatria e psicoterapia e Direttore del Centro Peritale per le Assicurazioni Sociali e la dr.ssa __________, medico assistente, dal canto loro, nel referto peritale del 21 gennaio 2009, hanno rilevato che “siamo confrontati con un soggetto che appare molto limitato dal punto di vista intellettivo e nell’espressione verbale” (doc. 113-9), ponendo le diagnosi di “depressione ansiosa persistente, ad esordio tardivo (distimia) ICD10-F34.1; problemi di relazione con i genitori ICD10-Z63.1” (doc. 113-13). Infine, la dr.ssa __________, nel referto peritale dell’8 agosto 2010, dopo avere indicato che “il cognitivo appare semplice e concreto ma indenne” (doc. 148-47) e che l’interessato presenta uno “scarso livello culturale” (doc. 148-48), ha posto le diagnosi di “sindrome depressiva persistente di altro tipo (ICD10-F34.8) e di disturbo di personalità NAS (ICD10-F60.9)” (doc. 148-47). La dr.ssa __________ ha poi sottolineato che “mi pare ci sia una sostanziale coerenza di senso tra le diagnosi dei diversi tecnici sia di parte (medici di medicina generale curanti) che sopra-partes. L’unico dettaglio incongruo è la relazione del dr. med. __________ che riferisce un quadro francamente drammatico anche dal punto di vista cognitivo che né altri prima di lui, né io stessa posso registrare nel presente colloquio clinico” (doc. 148-49). Quanto alla critica dello psicologo curante a proposito della mancata valutazione testistica da parte della dr.ssa __________, il dr. __________ e la dr.ssa __________, nelle annotazioni dell’8 novembre 2011, hanno rilevato che la richiesta di sottoporre “l’assicurato ad una valutazione testistica tra cui la WAIS per determinare il quoziente intellettivo (QI), appare strana dato che sia lo psicologo, sia il dr. __________, nel loro certificato del 29.07.2011, attestavano una diagnosi di ritardo mentale lieve; al fine di porre una tale diagnosi che presuppone la quantificazione del QI tra il 50 e il 69 è necessaria una valutazione testistica che sembra che loro quindi non abbiano espletato e quindi ci si chiede su quali elementi medici tale diagnosi si sia fondata dato che tre periti non hanno mai evidenziato segni psicopatologici deponenti verso una tale categoria diagnostica”. I medici del SMR hanno aggiunto che “inoltre i periti hanno, attraverso indagini cliniche accurate e dettagliate, evidenziato la presenza di diagnosi psichiatriche, classificate secondo la Classificazione Internazionale. La dr.ssa __________ infatti pone le diagnosi di disturbo depressivo persistente di altro tipo – ICD10-F34.8 e disturbo d’ansia NAS – ICD10-F41.9 – (entrambe diagnosi di asse I) oltre che una diagnosi di disturbo di personalità NAS (diagnosi di asse II). Le diagnosi poste sono state argomentate dai periti e sono peraltro tra loro coerenti. La somministrazione di test psicodiagnostici viene solitamente effettuata quando vi sono dei dubbi diagnostici che nel caso specifico i consulenti periti non hanno evidenziato vista la coerenza delle diagnosi che da tutti loro sono state ben argomentate” (doc. V/bis). Il TCA condivide anche queste considerazioni espresse dal dr. __________ e dalla dr.ssa __________ del SMR. Giova qui inoltre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Questa Corte ritiene pertanto che lo stato di salute dell’assicurato sia stato dettagliatamente ed approfonditamente vagliato dai medici del SAM.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dei medici del SAM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presenta un’inabilità lavorativa del 100% nella sua precedente attività di operaio generico, ma sia abile al lavoro al 75% in attività adeguate, rispettose dei suoi limiti funzionali, da dicembre 2005. 2.8.   Essendo quindi esigibile che l’assicurato sfrutti la sua residua capacità lavorativa del 75%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presente fattispecie, nella decisione impugnata l’amministrazione ha indicato che, senza il danno alla salute, lavorando al 100% come operaio non qualificato, l’interessato avrebbe percepito, nel 2009, fr. 61'244.-- (doc. B e doc. VIII/1). Il TCA non ha motivo per distanziarsi da questo ammontare stabilito dall’amministrazione, rimasto peraltro incontestato. Va infatti rilevato che non è possibile prendere in considerazione l’ultimo salario percepito dall’assicurato prima del danno alla salute, dato che, come indicato dalla consulente IP incaricata nel rapporto del 6 dicembre 2010, l’interessato “ha sempre svolto mansioni di operaio non qualificato. Dal 1990 in poi ha spesso alternato periodi lavorativi a periodi di iscrizione all’URC. È inattivo dal 1998” (cfr. doc. 152-1). Pertanto, essendo difficoltoso stabilire il reddito da valido dell’assicurato (ritenuto che egli ha svolto svariate attività alternate a periodi di disoccupazione ed è inattivo da lungo tempo), il TCA considera necessario fare riferimento ai dati statistici nazionali contenuti nella Tabella TA 1. Utilizzando i dati forniti da questa tabella,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4'998.12 mensili oppure a fr. 59'980 per l'intero anno (fr. 4'998.12 x 12). Dopo adeguamento all'indice dei salari nominali, si ottiene, per il 2009 (cfr. la relativa tabella pubblicata sul sito web dell’UFS), un reddito annuo di fr. 61'244.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Utilizzando i dati forniti da questa tabella,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59'980 per l'intero anno (fr. 4'998.24 x 12). Dopo adeguamento all'indice dei salari nominali, si ottiene, per il 2009 (cfr. la relativa tabella pubblicata sul sito web dell’UFS), un reddito annuo di fr. 61'244. Ritenuto che, come visto in precedenza da un punto di vista medico, l’assicurato può esercitare un’attività adeguata alle sue condizioni di salute al 75%, il reddito statistico va ridotto del 25% e ammonta a fr. 45'933 ( fr. 61'244 ridotti del 25% ).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   In concreto, nella decisione impugnata, l’amministrazione ha applicato una riduzione del 5% “per attività leggera”.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La percentuale del 5% stabilita dalla consulente, dopo avere analizzato tutti i possibili fattori di riduzione (attività leggere, riduzione della redditività, età e anni di servizio, nazionalità e permesso di soggiorno, tasso di occupazione; cfr. doc. VIII/1) e non contestata dall’assicurato, può essere confermata dal TCA. Questa soluzione si giustifica tanto più se si considera che per costante giurisprudenza il giudice non può scostarsi dalla valutazione dell’amministrazione senza fondati motivi (cfr. DTF 137 V 71; DTF 126 V 80 consid. 5b/dd e 6). Per un caso in cui il TF ha ritenuto di non apportare alcuna riduzione percentuale malgrado l'attività a tempo parziale, cfr. la sentenza del Tribunale federale STF 9C_780/2008 del 22 dicembre 2008, concernente il caso di un ingegnere, citata in precedenza. Procedendo quindi al raffronto dei redditi, con riferimento al 2009, partendo da un salario da invalido di fr. 61'244 e ritenuta un’esigibilità dal profilo medico del 75%, ammettendo la riduzione del 5%, il reddito ipotetico dell’insorgente ammonta, quindi, a fr. 43'636.-- (fr. 45'933 - (fr. 45'933 x 5 : 100)) . C onfrontando ora questo dato con l’ammontare del reddito da valido nel medesimo anno di fr. 61'244 (consid. 2.9.), emerge un tasso d’invalidità del 28.75%, arrotondato al 29% secondo la giurisprudenza di cui alla DTF 130 V 121 consid. 3.2. = SVR 2004 UV Nr. 11 pag. 41), percentuale che non permette la concessione di prestazioni dell’assicurazione invalidità, come correttamente stabilito dall’amministrazione nella decisione impugnata. Allo stesso risultato si giunge anche procedendo al raffronto dei redditi per gli anni 2006, 2007 e 2009, come espressamente indicato dalla consulente incaricata nel rapporto del</w:t>
      </w:r>
    </w:p>
    <w:p>
      <w:r>
        <w:rPr>
          <w:b/>
        </w:rPr>
        <w:t>E. 6</w:t>
      </w:r>
    </w:p>
    <w:p>
      <w:r>
        <w:t>dicembre 2010 (cfr. doc. 152-2). La decisione del 16 settembre 2011 con la quale l’UAI ha rifiutato il riconoscimento di una rendita d'invalidità merita quindi conferma. 2.13.   A titolo abbondanziale, va osservato che essendo il grado di invalidità dell’insorgente superiore al 20%, egli potrebbe teoricamente avere diritto ad una riformazione professionale. L’art. 17 LAI prevede in particolare che: " L’assicurato ha diritto alla formazione in una nuova attività lucrativa se la sua invalidità esige una riconversione professionale e grazie ad essa la capacità al guadagno può essere presumibilmente conservata o migliorata."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ritenuto che, nel suo rapporto del 6 dicembre 2010, il consulente IP incaricato ha considerato che: " Dalla lettura del dossier dell’assicurato si può evincere come lo stato di quasi “apatia” dell’assicurato nei confronti della situazione che lo tocca non consente di ipotizzare un progetto di riqualifica professionale che possa migliorare la capacità di guadagno dell’assicurato.” (Doc. 152-2) 2.14.   L’assicurato, con il ricorso , ha chiesto al TCA che venga esperita una nuova valutazione peritale (doc. I).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 2.16. L’assicurato ha chiesto l'assistenza giudiziaria con gratuito patrocinio per la procedura ricorsuale (cfr. doc. I, consid. 1.3.).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ricorrente, nato il 5.03.1960, divorziato, senza attività lucrativa, si trova nel bisogno. Nonostante la mancata trasmissione del certificato municipale per l’ammissione all’assistenza giudiziaria, malgrado i ripetuti solleciti del TCA, da parte del suo patrocinatore, dagli accertamenti compiuti da questo Tribunale è infatti emerso che l’assicurato percepisce unicamente fr. 2’150.- mensili dall’Ufficio del sostegno sociale e dell’inserimento (cfr. doc. X/bis).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