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32.2011.244 vom 15. Juli 2011</w:t>
      </w:r>
    </w:p>
    <w:p>
      <w:r>
        <w:t>TI Tribunale d'appello, 2011-07-15, IT</w:t>
      </w:r>
    </w:p>
    <w:p>
      <w:r>
        <w:rPr>
          <w:b/>
        </w:rPr>
        <w:t xml:space="preserve">Quelle: </w:t>
      </w:r>
      <w:r>
        <w:t>https://mcp.opencaselaw.ch/entscheid/ti_gerichte_32.2011.244</w:t>
      </w:r>
    </w:p>
    <w:p>
      <w:r>
        <w:t>FR: TI_GERICHTE 32.2011.244 du 15 juillet 2011</w:t>
      </w:r>
    </w:p>
    <w:p>
      <w:r>
        <w:t>IT: TI_GERICHTE 32.2011.244 del 15 luglio 2011</w:t>
      </w:r>
    </w:p>
    <w:p>
      <w:pPr>
        <w:pStyle w:val="Heading2"/>
      </w:pPr>
      <w:r>
        <w:t>Regeste</w:t>
      </w:r>
    </w:p>
    <w:p>
      <w:r>
        <w:t>Viste le risultanze della perizia SAM (attestante una capacità lavorativa del 50% nell'attività abituale), sulla base di un confronto percentuale dei redditi va confermato il diritto ad una mezza rendita</w:t>
      </w:r>
    </w:p>
    <w:p>
      <w:pPr>
        <w:pStyle w:val="Heading2"/>
      </w:pPr>
      <w:r>
        <w:t>Erwägungen</w:t>
      </w:r>
    </w:p>
    <w:p>
      <w:r>
        <w:rPr>
          <w:b/>
        </w:rPr>
        <w:t>E. 15</w:t>
      </w:r>
    </w:p>
    <w:p>
      <w:r>
        <w:t>luglio 2011 ha confermato il diritto ad una mezza rendita dall’ottobre 2008.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in una sentenza pubblicata in DTF 136 V 376 il TF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Nella sentenza di principio 9C_243/2010 del 28 giugno 2011 pubblicata in DTF 137 V 210 e segg., il TF ha preso posizione sulle critiche alla giurisprudenza federale relativa al valore probatorio delle perizie dei Servizi di accertamento medico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TF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pag. 85, C 85/95 consid. 5d con riferimenti, sentenza H 355/99 del 11 aprile 2000 consid. 3b), i cui costi sono posti a carico dell'assicurazione invalidità (consid. 4.4.2). Il TF ha inoltre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vedi STF 9C_113/2012 del 14 marzo 2012, 8C_426/2011 del 29 settembre 2011, 9C_87/2011 del 1. settembre 2011 e 9C_120/2011 del 25 luglio 2011). Giova qui ricordare che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(STFA I 938/05 del 24 agosto 2006, consid. 3.2)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inoltre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Infine va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Nell’evenienza concreta, richiamata la suesposta giurispru-denza in materia di valore probatorio di rapporti medici e in particolare le STF 9C_113/2012 del 14 marzo 2012, 8C_426/2011 del 29 settembre 2011, 9C_87/2011 del 1. settembre 2011 e 9C_120/2011 del 25 luglio 2011 per quanto riguarda le perizie raccolte secondo il vecchio standard processuale, questo Tribunale non intravede ragioni che gli impediscano di far proprie le conclusioni cui sono giunti i periti del SAM, i quali hanno compiutamente valutato le differenti affezioni di cui l’assicurato è portatore, giungendo ad una conclusione logica e priva di contraddizioni che stabilisce, sia quale operaio che in un’attività adeguata rispettosa del limiti funzionali posti, una capacità lavorativa del 50%. Quanto all’evoluzione nel tempo, i periti hanno precisato che “(…) non si constata né un miglioramento né un peggioramento rispetto alla decisione dell’Ufficio AI del Canton Ticino (grado d’invalidità al 50% dall’1.10.2008, precedentemente al 100% dal 1.1.al 30.9.2008). (…)” (doc. AI 95/25). In particolare il TCA rileva innanzitutto che nel complemento 27 giugno 2011 i periti hanno puntualmente preso posizione sul rapporto 9 aprile 2011 del dr. __________ (doc. AI 118/1-6 riprodotto in esteso al consid. 2.7) e motivato per quale ragione l’incapacità lavorativa non va cumulata ( “(…) riassumendo in una professione adeguata vedo al massimo un’incapacità lavorativa del 20% per cefalee del paziente, dolori che comunque fanno parte del quadro globale del paziente di un dolore cronico.” […] Questa riduzione della capacità lavorativa è inglobabile in quella del 50% descritta nella nostra perizia del 29.11.2010. (…)” ; doc. AI 118/3). Per il solo fatto che il dr. __________ nel consulto 19 agosto 2010 (doc. AI 94/43-47) ha evidenziato che “(…) si presenta un quadro di non facile interpretazione anche per una collaborazione limitata durante l’esecuzione dello stato neurologico (in ambito della sintomatologia algica? Componente psicogena aggravante?). In pratica non era valutabile la forza muscolare in nessuna sede per attivazione solo minima dei muscoli durante l’esame e continui costanti cedimenti al primo movimento senza comunque chiare paresi evidenti nei movimenti spontanei, la prova tallone-ginocchio e le manovre di Mingazzini II non erano possibili in ambito dei dolori accusati come anche la marcia sulle punte e sui piedi, da ricordare che il paziente in genere cammina con una stampella, riferisce importanti difficoltà a fare le scale ma il giorno della visita nel mio studio è riuscito a fare 4 piani di scale (per la riparazione in atto dell’ascensore). Egli descrive inoltre un’ipoestesia facio-brachio-toraco-crurale sinistra globale senza distribuzione dermatogena, quindi un disturbo sensitivo che coinvolgerebbe anche tutto l’emitronco sinistro. (…)” (doc. AI 95/46) , non è possibile – come pretenderebbe l’insorgente ( “(…) il dr. __________ non aveva approfondito la sua valutazione, non avvedendosi così che in realtà il ricorrente soffriva e soffre di affezioni neurologiche gravi che riducono a zero la sua capacità lavorativa attuale. Il dr. med __________ si era lasciato fuorviare da considerazioni che non avevano alcuna base scientifica, erano certamente fuori luogo e denotavano una superficialità totale ed erano atte ad inficiare la validità scientifica e la fedefacenza di tale valutazione medica. Si fa qui riferimento alle considerazioni del dr. med. __________ circa le rampe di scale fatte dall’assicurato per recarsi alla visita medica; considerazioni che lasciavano e lasciano alquanto perplessi perché poggiavano solo su pregiudizi nei confronti del qui ricorrente che veniva tacciato (anche se non espressamente) da simulante, senza che un medico psichiatra, neppure il perito del SAM, avesse mai posto una simile diagnosi. (…)” ; doc. AI 124/7 ) – scostarsi dalle conclusioni del consulente. Va qui rilevato che anche la dr.ssa __________ nel consulto 17 luglio 2010 (doc. AI 95/37-42) ha evidenziato che “(…) il quadro esordisce nel 2007 sulla scia di una reazione emotiva probabilmente a corto circuito, a un sollevamento di un peso che scatena dolore violento alla colonna. Egli reagisce accusando un insulto alla sua incolumità e inizia a sviluppare una convinzione (idea prevalente) che il movimento sia foriero di minaccia e possibilità di trasformarlo in un handicappato fragile e dipendente. Tale idea si insinua e infiltra tutto lo spazio di pensiero e lo coarta e limita: tale quadro ideico sostiene il ritiro dall’uso del corpo e quella sorta di ritiro che osserviamo (non lavora, ha quasi eliminato la guida, non fa alcuno sforzo) e che viene proposto con enfatica drammatizzazione come a voler convincere tutti – anche se stesso – che non deve muoversi … pena la fine! (…)” (doc. AI 95/41). Nemmeno è possibile concludere differentemente avuto riguardo al consulto 19 agosto 2010 del dr. __________ il quale ha concluso che “(…) ne consegue che da un punto di vista strettamente neurologico non posso porre una diagnosi, la sintomatologia algica del paziente sarà valutata dalla consulenza reumatologica e la problematica somatoforme dalla valutazione psichiatrica. (…)” (doc. AI 95/47). Infatti – oltre ad evidenziare che nel consulto in parola lo specialista aveva già rilevato che “(…) inoltre rivalutando le immagini MRI vi è effettivamente una malformazione Arnold Chiari di tipo I che però in genere è asintomatica e non comporta problemi futuri. Se vi sia effettivamente una siringomielia o piuttosto una dilatazione del canale centrale midollare (quest’ultima più frequente e che non comporta dei deficit) ed anche la questione di un assottigliamento del midollo spinale cervicale basso sono molto dubbi in quanto la lettura dell’esame della MRI stessa è resa difficile dai movimenti continui del paziente. In ogni caso, come suddescritto non vi è oggettività che vi sia effettivamente una siringomielia o una mielopatiaa cervico-dorsale. (…)” (doc. AI 95/47) – nella presa di posizione 2 giugno 2011 (doc. AI 118/4-6), lo specialista ha puntualizzato che “(…) rivedendo la mia valutazione effettivamente per errore non avevo messo nella voce della diagnosi la malformazione di Arnold Chiari tipo I, non vi è dubbio sull’esistenza della stessa che è ben documentata tramite MRI. (…)” confermando comunque che “(…) unicamente la sindrome di Arnold Chiari di tipo I potrebbe effettivamente causare le cefalee del paziente e l’accentuazione delle cefalee con manovre di tipo Valsalva, dove però il paziente stesso descrive i dolori cefalici come molto meno importanti rispetto ai dolori lungo la colonna vertebrale e ai 4 arti. Questa cefalea potrebbe effettivamente influenzare la capacità lavorativa valutabile al massimo al 20% nell’attività che il paziente ha svolto abitualmente. […] Riassumendo in una professione adeguata vedo al massimo un’incapacità lavorativa del 20% per le cefalee del paziente, dolori che comunque fanno parte del quadro globale del paziente di un dolore cronico. (…)” (doc. AI 118/6). Non va poi dimenticato che, a differenza del dr. __________, i periti del SAM avevano già riportato la diagnosi di malformazione di Arnold-Chiari di tipo I quale diagnosi con influenza sulla capacità lavorativa (doc. AI 95/17 e 118/3). Quanto al rapporto 8 settembre 2011 (doc. AI 124/15-16) nel quale il dr. __________, oltre a preavvisare l’organizzazione di una nuova rivalutazione neurochirurgica, si è così espresso: " (…) Constato che parte delle osservazioni sul piano medico da me formulate, sono state sostanzialmente accettate, ma con molta sorpresa queste non hanno portato a nessuna rivalutazione delle decisioni mediche, portando così l'ufficio AI a modificare solo marginalmente le sue decisioni, riconoscendo sul piano neurologico un'incapacità lavorativa al 20%, di per sé per una cefalea non meglio classificata e nel contesto di affermazioni di per sé molto contraddittorie, indicando per es. che i dolori cefalici sono molto meno intensi dei dolori alla colonna vertebrale e ai quattro arti, dolori per i quali apparentemente non sarebbero state riconosciute delle cause organiche sottogiacenti. Nelle conclusioni non si accetta neppure di modificare l'effettiva capacità lavorativa ed adattare i limiti funzionali per il sollevamento di pesi, alle diagnosi che finalmente anche il Dr. __________ ha accettato di considerare. Voglio qui precisare che le patologie del midollo spinale di cui questo paziente è portatore, sono patologie mal conosciute, che molti segni descritti come tipici da parte del Dr. __________ per una siringomielia, non vengono praticamente mai riscontrati nella pratica medica quotidiana, ma fanno parte della descrizione di casi     unici della letteratura medica (i disturbi trofici della pelle sono descritti per es. nel 2% dei pazienti e le alterazioni muscolari nel 5%) mentre la maggior parte dei pazienti (52%) presenta sintomi detti solo "soggettivi", quali: disturbi della sensibilità, dolore, parestesie e nel 30% una diminuzione solo soggettiva della forza. Nel 6% dei casi vengono invece descritte delle artropatie di origine neurogena, del tipo per es. della cifoscoliosi, deformazione che il nostro paziente ha in effetti, sviluppato, problematica questa che invece l'esperto dell'AI non ha neppure messo in possibile relazione con le alterazioni del sistema nervoso riscontrate. Non posso dunque che riaffermare quanto da me già descritto nel rapporto del 9.4.2011 e indicare che ritengo, che la valutazione neurologica del dr. __________, non descriva e non considerava le reali condizioni del paziente, che invece ho cercato di descrivere. Debbo dunque confermare che siamo confrontati, con un paziente che presenta delle rilevanti problematiche oggettive di tipo sia somatico, sia psichiatrico. Per queste ultime non è mia competenza esprimermi, anche se debbo ricordare, che proprio queste (patologie psichiatriche), provocano rilevanti interazoni e limitazioni nella presa a carico somatica, limitando l'accesso a quelle cure di cui il paziente avrebbe bisogno in ambito neuro ortopediche, dove abbiamo una malformazione Arnold Chiari I, delle alterazioni del midollo cervicale (atrofia e siringomielia) ed un'importante roto-scoliosi dorso-lombare. Non posso dunque che riaffermare, che il paziente presenta rilevanti problemi neurologici, che certamente sono, indipendentemente dalla problematica psichiatrica, già di per sé di difficile presa a carico e per i quali il paziente necessita sia di un importante trattamento antalgico (derivati della morfina, ecc.), che di misure di protezione, alfine di evitare un'ulteriore compromissione del sistema nervoso e del suo stato clinico. Non posso dunque che anche riaffermare, ancor più, dopo aver ricontattato tutti i medici curanti ed ottenuto da loro conferma, che i limiti funzionali descritti nella mia lettera di valutazione del 9.4.2011 sono indicati e necessari. Nonostante le limitazioni della problematica psichiatrica sottogiacente, organizzerò una nuova rivalutazione neurochirurgica, in quanto ritengo necessario che, alla presenza di profonde divergenze di valutazione in ambito neurologico, queste patologie, di per sé molto rare e per le quali abbiamo una limitata esperienza clinica, siano ulteriormente da approfondire. (…)" (doc. AI 124/15-16) questo Tribunale – ricordato anche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pag. 234) e evidenziato come lo stesso dr. __________ ammetta che si tratta sostanzialmente di divergenze di valutazione – deve fare proprie le valutazioni del dr. __________ che (esprimendosi anche sul rapporto del 30 marzo 2011 del dr. __________) ha concluso: " (…) Da questi rapporti non emergono nuovi fatti dal lato neurologico, in particolare il Dr. med. __________ non descrive nuovi aspetti e riafferma le sue considerazioni descritte nell’aprile 2011, riportando, tra l’altro soprattutto dati statistici senza nuovi elementi neurologici riguardanti il paziente stesso. Non vi è accenno nella discussione se vi sia effettivamente una siringomielia, piuttosto di un’idromielia, basa la sua diagnosi su sintomi “soggettivi” che secondo il Dr. med. __________ sarebbero i sintomi statisticamente più frequenti, ma senza evidenzia che vi sia effettivamente una siringomielia né dal punto di vista clinico, né elettrofisiologico e neppure sicuro neuroradiologico. Ricordo inoltre che le mie considerazioni per quanto riguarda un’importante sovrapposizione funzionale sono state condivise in precedenza anche dai colleghi neurologi dell’Ospedale __________, dal Dr. med. __________ neurologo di Lugano e dal Dr. med. __________ primario della Clinica __________. Non vedo neanche contraddittoria, come descritto dal Dr. med. ____________________, la mia affermazione che i dolori cefalici siano molto meno intensi alla colonna vertebrale e ai 4 arti, ciò mi è stato proprio riferito dal paziente. Il Dr. med. __________ descrive inoltre che in 6% casi di pazienti con siringomielia vi sarebbero delle artropatie di origine neurologiche come per esempio cifoscoliosi, lasciando intendere che essa nel caso del paziente sia legata alla siringomielia (sempre che ci sia quest’ultima). Si tratta di un’affermazione un po’ azzardata in quanto gli studi sulla associazione tra alterazioni cifoscoliotiche e una siringomielia sono tutt’altro che conclusivi, è molta aperta la domanda se una di esse può essere all’origine dell’altra, in che misura, oppure se si tratta di un quadro globale di disrafismo in pazienti che hanno anche una malformazione di Arnold-Chiari come nel caso del paziente. In tal senso non vedo la necessità di dover modificare le mie considerazioni espresse nel mio rapporto del 2.6.2011. (…)" (XVII/bis) In questo senso, tanto la richiesta audizione del dr. __________ e del dr. __________ quanto la domanda di una perizia giudiziaria comprensiva di una nuova rivalutazione neurochirurgica (cfr. consid. 1.5) vanno respinte.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Va inoltre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Il ricorrente non ha del resto prodotto l’ulteriore documentazione medica preannunciata anche se sollecitata (doc. C e XXI con allegato doc. D; cfr. consid. 1.10 e 1.11). Alla luce del tempo trascorso nel frattempo e considerato il fatto che fosse lecito attendersi che i documenti medici preannunciati venissero prodotti “ entro un termine ragionevole”, si deve concludere che l'insorgente ha rinunciato alla produzione di ulteriori atti medici (cfr., al riguardo, STF 8C_45/2010 del 26 marzo 2010, con la quale il TF ha confermato la STCA 35.2009.86 del 10 dicembre 2009 ). In conclusione, rispecchiando la perizia pluridisciplinare 29 novembre 2011 del SAM con i suoi complementi 27 giugno, 21 e 28 ottobre 2011 (doc. AI 118/1-6, IX con allegato doc. 125 e XVII/bis) tutti i criteri di affidabilità e completezza richiesti dalla giurisprudenza (cfr. consid. 2.7) e non essendo provato un peggioramento duraturo con conseguenze sulla capacità lavorativa dopo il mese di novembre 2010 e prima del 15 luglio 2011, a ragione l’Ufficio AI ha confermato una capacità lavorativa, tanto nell’abituale quanto in un’altra attività adeguata, del 50% dall’ottobre 2008. 2.9.   Quanto alla valutazione economica, potendo l’insorgente lavorare ancora nella sua attività abituale al 50% è indicato procedere ad un raffronto percentuale dei redditi (DTF 114 V 313 consid. 3a e riferimenti; STF 9C_776/2007 del 14 agosto 2008 e I 759/2005 del 21 agosto 2006; Omlin, Die Invalidität in der obligatorischen Unfallversicherung, tesi Friburgo 1995, pag. 154). In effetti, per la giurisprudenza se il danno alla salute non è tale – come in casu, in base alle risultanze peritali –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Ne consegue che va confermato anche il grado d’invalidità del 50%. 2.10.   In simili circostanze, visto tutto quanto precede, a ragione l’Ufficio AI ha confermato il diritto alla mezza rendita dall’otto-bre 2008.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 ricorrente. 2.12.   L’insorgente ha formulato istanza di assistenza giudiziaria con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cfr. anche artt. 2 e 3 Lag.). Per valutare se un assicurato si trova in uno stato di bisogno, secondo la giurisprudenza federale, si tiene conto di un fabbisogno minimo che si situa al di sopra del minimo di esistenza agli effetti del diritto esecutivo (SVR 1998 IV Nr. 13 pag. 48 consid. 7b, pag. 48 consid. 7c). Al minimo esecutivo va, infatti, aggiunto un supplemento al massimo del 15-25% (STFA U 102/04 del 20 settembre 2004 consid. 4.1.2). In casu il ricorrente non si trova nel bisogno. Dal certificato per l’ammissione all’assistenza giudiziaria e dalla relativa documentazione acclusa (XVI/bis) risulta infatti quanto segue. Il ricorrente, coniugato con __________ e padre di due figlie, dispone, quali entrate, di una rendita AI di fr. 1'251.--, di una rendita LPP di fr. 1'289.90 e di una PC di fr. 2'748.--. Oltre all’importo complessivo delle entrate pari a fr. 5'288.90 il ricorrente ha pure segnalato, sotto la voce risparmi, un “(…) versamento da cassa malati per arretrati circa fr. 9'000.-- da restituire a API (…)” (vedi il punto 5 del certificato per l’ammissione all’assistenza giudiziaria nonché l’avviso di accredito 6 settembre 2011 dal quale risulta un versamento della cassa malati a suo favore di fr. 8'988.50). Quanto alle uscite, l’assicurato deve far fronte a fr. 2500.--quale importo base mensile per sé e la sua famiglia (importo base mensile per coniugi pari a fr. 1'700.-- più fr. 400.-- per la figlia __________ nata nel 2005 e fr. 400.-- per la figlia __________ nata nel 2009, stabiliti per il calcolo del minimo esistenziale LEF dalla Camera di esecuzione e fallimento, quale Autorità di vigilanza cantonale e in vigore dal 1° settembre 2009, tuttora in uso. Questi importi comprendono già le spese di sostentamento, abbigliamento, biancheria, igiene, cultura, salute, oneri domestici, quali elettricità, illuminazione, gas; cfr. Tabella per il calcolo del minimo di esistenza agli effetti del diritto esecutivo). Bisogna poi computare il canone di locazione e le spese per complessivi fr. 1'380.-- mensili (vedi il punto 4 del certificato per l’ammissione all’assistenza giudiziaria e il contratto di locazione del 29 dicembre 2008) nonché fr. 3.33 quale imposta personale comunale (fr. 40.-- annui diviso 12 = fr. 3.33). Non possono invece essere ritenute le spese per il posteggio e per l’auto. A tale proposito va rilevato che è principio giurisprudenziale e dottrinale indiscusso che le spese fisse e correnti connesse all’uso di un’automobile rientrano nel minimo di esistenza del debitore solo se il veicolo viene dichiarato impignorabile in virtù dell’art. 92 n. 3 LEF, ossia se gli è necessario per l’esercizio della sua professione (DTF 117 III 22, 104 III 73, 97 III 52; Guidicelli/Piccirilli, Il pignoramento di redditi ex art. 93 LEF nella pratica ticinese, Lugano 2002, n. 171 ss), ciò che non corrisponde al caso in esame. In concreto, aggiungendo all’importo di base di fr. 2'500.-- il supplemento del 15-25%, a cui si fa riferimento nella suevocata giurisprudenza federale, risultano uscite per 4'258.33 rispettivamente 4'508.33, e quindi, nel primo caso, un eccedenza di fr. 1'030.57 e, nel secondo caso, di fr. 780.57 al mese. Con una tale eccedenza, anche avuto riguardo al debito di fr. 11'602.-- (importo chiestogli in restituzione con decisione 26 luglio 2011 dalla Cassa cantonale di compensazione per gli assegni famigliari per assegni di prima infanzia versati indebitamente; al quale lo stesso assicurato ha indicato di dover far fronte con il versamento della cassa malati di circa fr. 9'000.-- e di cui può in ogni caso essere chiesta una rateizzazione) l’indigenza non può essere ammessa. Non essendo dunque adempiuto il primo presupposto (cumulativamente necessario) dell’indigenza, l’istanza tendente alla concessione dell’assistenza giudiziaria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