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32.2011.204 vom 14. Juni 2011</w:t>
      </w:r>
    </w:p>
    <w:p>
      <w:r>
        <w:t>TI Tribunale d'appello, 2011-06-14, IT</w:t>
      </w:r>
    </w:p>
    <w:p>
      <w:r>
        <w:rPr>
          <w:b/>
        </w:rPr>
        <w:t xml:space="preserve">Quelle: </w:t>
      </w:r>
      <w:r>
        <w:t>https://mcp.opencaselaw.ch/entscheid/ti_gerichte_32.2011.204</w:t>
      </w:r>
    </w:p>
    <w:p>
      <w:r>
        <w:t>FR: TI_GERICHTE 32.2011.204 du 14 juin 2011</w:t>
      </w:r>
    </w:p>
    <w:p>
      <w:r>
        <w:t>IT: TI_GERICHTE 32.2011.204 del 14 giugno 2011</w:t>
      </w:r>
    </w:p>
    <w:p>
      <w:pPr>
        <w:pStyle w:val="Heading2"/>
      </w:pPr>
      <w:r>
        <w:t>Regeste</w:t>
      </w:r>
    </w:p>
    <w:p>
      <w:r>
        <w:t>Sulla base degli atti non é possibile concludere che l'incapacità lavorativa del 100% sia causata da un alcoolismo/tossicodipendenza non invalidante ai sensi della legge. Rinvio atti all'Ufficio AI per completare gli accertamenti e rendere un nuovo provvedimento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ottobre 2011) – , viste le carenze sopra evidenziate, la decisione impugnata va annullata e gli atti rinviati all’Ufficio AI affinché, valutata tramite gli ulteriori  necessari accertamenti medici la valenza della patologia psichiatrica e predisposto (se del caso avvalendosi dell’art. 43 cpv. 3 LPGA) il periodo di astensione richiesto, emetta un nuovo provvedimento. 2.7.   Secondo l’art. 69 cpv. 1bis LAI, in vigore dal 1° luglio 2006, la procedura di ricorso in caso di controversie relative all’asse-gnazione o al rifiuto di prestazioni AI dinanzi al tribunale cantonale delle assicurazioni è soggetta a spese. L’entità delle spese è determinata fra 200.-- e 1’000.-- franchi in funzione delle spese di procedura e senza riguardo al valore litigioso. Visto l’esito della vertenza, le spese per complessivi fr. 500.-- sono poste a carico dell’Ufficio AI.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