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32.2011.164 vom 3. Mai 2011</w:t>
      </w:r>
    </w:p>
    <w:p>
      <w:r>
        <w:t>TI Tribunale d'appello, 2011-05-03, IT</w:t>
      </w:r>
    </w:p>
    <w:p>
      <w:r>
        <w:rPr>
          <w:b/>
        </w:rPr>
        <w:t xml:space="preserve">Quelle: </w:t>
      </w:r>
      <w:r>
        <w:t>https://mcp.opencaselaw.ch/entscheid/ti_gerichte_32.2011.164</w:t>
      </w:r>
    </w:p>
    <w:p>
      <w:r>
        <w:t>FR: TI_GERICHTE 32.2011.164 du 3 mai 2011</w:t>
      </w:r>
    </w:p>
    <w:p>
      <w:r>
        <w:t>IT: TI_GERICHTE 32.2011.164 del 3 maggio 2011</w:t>
      </w:r>
    </w:p>
    <w:p>
      <w:pPr>
        <w:pStyle w:val="Heading2"/>
      </w:pPr>
      <w:r>
        <w:t>Regeste</w:t>
      </w:r>
    </w:p>
    <w:p>
      <w:r>
        <w:t>Rinvio per nuovi accertamenti medici. Andrà approfondita la questione se vi è stato o meno un peggioramento del quadro reumatologico anteriormente al provvedimento impugnato</w:t>
      </w:r>
    </w:p>
    <w:p>
      <w:pPr>
        <w:pStyle w:val="Heading2"/>
      </w:pPr>
      <w:r>
        <w:t>Erwägungen</w:t>
      </w:r>
    </w:p>
    <w:p>
      <w:r>
        <w:rPr>
          <w:b/>
        </w:rPr>
        <w:t>E. 11</w:t>
      </w:r>
    </w:p>
    <w:p>
      <w:r>
        <w:t>e 9 agosto 2002 nella causa S. consid. 3.1, I 26/02 e cfr. anche STFA inedita 13 giugno 2003 nella causa G. consid. 4.2, I 475/01). 2.3.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(o comunque svolgerebbe in assenza dei fattori invalidanti) solo parzialmente un'attività lucrativa torna applicabile l’art. 28 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Al riguardo la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L’Alta Corte nella sentenza dell’8 luglio 2011, pubblicata in DTF 137 V 334, ha riconfermato la sua giurisprudenza relativa al metodo misto e si è così espressa: " (…) 5.1 La doctrine s'est toujours montrée très critique à l'égard de la jurisprudence du Tribunal fédéral concernant la méthode mixte d'évaluation de l'invalidité (entres autres auteurs: HANS-JAKOB MOSIMANN, Teilerwerbstätige in der Invalidenversicherung, RSAS 2010 p. 271 ss; JEAN-LOUIS DUC, Du droit à une rente de l'AI des personnes n'exerçant une activité lucrative qu'à temps partiel. Le Tribunal fédéral des assurances ignore-t-il la loi-, PJA 2005 p. 1423 ss; EDGAR IMHOF, Die Bedeutung menschenrechtlicher Diskriminierungsverbote für die Soziale Sicherheit, in Jusletter du 7 février 2005, n. 21 ss; MARGRITH BIGLER-EGGENBERGER, Et si la justice ôtait son bandeau- La jurisprudence du Tribunal fédéral sur l'égalité entre femmes et hommes, 2003, p. 227 ss; FRANZ SCHLAURI, Das Rechnen mit Arbeitsunfähigkeiten in Beruf und Hauhalt in der gemischten Methode der Invaliditätsbemessung, in Schmerz- und Arbeitsunfähigkeit, Schaffhauser/Schlauri [éd.], 2003, p. 307 ss; UELI KIESER, Die Ermittlung des Invaliditätsgrades von Teilerwerbstätigen, in Sozialversicherungsrechtstagung 2002, Schaffhauser/Schlauri [éd.], p. 9 ss; BAUMANN/LAUTERBURG, Knappes Geld - ungleich verteilt: Gleichstellungsdefizite in der Invalidenversicherung, 2001, p. 76 ss; SUSANNE LEUZINGER-NAEF, Sozialversicherungsrechtliche Probleme flexibilisierter Arbeitsverhältnisse, et ALEXANDRA RUMO-JUNGO, Ausgewählte Gerichtsentscheide aus dem Sozialversicherungsrecht im Zusammenhang mit Teilzeitarbeitsverhältnissen, toutes deux in Neue Erwerbsformen - veraltetes Arbeits- und Sozialversicherungsrecht-, Erwin Murer [éd.], 1996, p. 91 ss et 187 ss; PETER STEIN, Die Invalidität, Weg oder Irrweg von Gesetzgebung und Praxis, in Sozialversicherungsrecht im Wandel: Festschrift 75 Jahre Eidgenössisches Versicherungsgericht, 1992, p. 441 s.). Elle estime en substance que le degré d'invalidité calculé selon la méthode mixte d'évaluation aboutit à un résultat peu satisfaisant, car souvent inférieur à celui obtenu avec l'aide d'une autre méthode. Dans la mesure où ce seraient les femmes qui en pâtiraient principalement, la méthode mixte d'évaluation serait par conséquent discriminatoire. (…) 5.3 Tel que défini à la base, le risque "invalidité" comporte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(cf. KIESER, op. cit., p. 35).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5.4 Dans un premier temps, le Tribunal fédéral des assurances a jugé qu'il n'était pas possible de considérer un assuré comme étant partiellement actif et non actif. Au contraire, il fallait distinguer nettement ces deux catégories; dans chaque cas, les organes de l'assurance-invalidité devaient déterminer si l'assuré qui prétendait à l'octroi d'une rente devait être considéré comme exerçant ou comme n'exerçant pas d'activité lucrative (principe de la prépondérance; ATFA 1964 p. 258). Par la suite, la jurisprudence a considéré que l'exercice d'une activité lucrative accessoire d'une personne assurée, occupée essentiellement aux tâches ménagères et à l'éducation de ses enfants, devait, lors de l'évaluation de son invalidité, être prise en compte dans le cadre de la méthode spécifique d'évaluation. Tel était le cas lorsqu'il y avait lieu d'admettre que le revenu que la personne assurée aurait réalisé si elle n'était pas devenue invalide, aurait représenté une part substantielle du revenu global du ménage ( ATF 98 V 259 consid. 2 p. 261). Malgré cette précision de jurisprudence, le Conseil fédéral a estimé que la règle définie par le Tribunal fédéral des assurances était difficile à appliquer dans la pratique et pouvait parfois aboutir à des résultats peu satisfaisants. Fort de ce constat, il a introduit à compter du 1 er janvier 1977 l' art. 27 bis RAI (RO 1976 2654). Selon la volonté du Conseil fédéral, l'évaluation de l'invalidité ne devait se faire désormais d'après le principe de la comparaison des revenus que si la personne assurée consacrait tout son temps à une activité lucrative. Chez les ménagères qui exerçaient une telle activité pendant une partie de leur temps, l'empêchement subi dans les travaux du ménage et dans l'activité lucrative devait être pris en considération d'une manière adéquate, et l'invalidité évaluée d'après la réduction des aptitudes dans chaque domaine (méthode mixte d'évaluation de l'invalidité; RCC 1977 p. 18 et 1978 p. 407). Le Tribunal fédéral des assurances a reconnu que cette réglementation était conforme à la loi et, partant, fixé la méthode mixte dans l'ordre juridique suisse (arrêt I 350/77 du 28 septembre 1978 consid. 1b, in RCC 1979 p. 276; confirmé in ATF 125 V 146 ). Le législateur a définitivement inscrit dans la loi la méthode mixte d'évaluation de l'invalidité le 1 er janvier 2004 (art. 28 al. 2 ter LAI [RO 2003 3852]; aujourd'hui: art. 28a al. 3 LAI [RO 2007 5147]; sur l'origine de la méthode mixte d'évaluation, voir notamment SCHLAURI, op. cit., p. 309 s. et KIESER, op. cit., p. 25 s.). 5.5 Depuis son apparition, la méthode mixte d'évaluation de l'invalidité n'a pas été remise en question dans son principe. Font en revanche l'objet d'une intense controverse, hier comme aujourd'hui, les modalités d'application de cette méthode, en particulier la détermination du degré d'invalidité pour la part que la personne assurée consacre à son activité lucrative (cf. supra consid. 5.1). 5.5.1 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("Meistbegünstigungsklausel"). Chaque régime a pour but d'appréhender, de façon différenciée et spécifique, une situation de fait particulière: celle de l'assuré exerçant une activité lucrative à temps complet, celle de l'assuré exerçant une activité lucrative à temps partiel et celle de l'assuré n'exerçant pas d'activité lucrative.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chaque méthode doit être examinée pour elle-même selon les critères définis par la loi (voir arrêt I 156/04 du 13 décembre 2005 consid. 5.1.1, in SVR 2006 IV n° 42 p. 151). 5.5.2 Lorsqu'une personne assurée décide de ne travailler qu'à temps partiel, elle fait un choix qui relève intrinsèquement de sa responsabilité personnelle directe; comme pour tout choix, il lui appartient de tenir compte des conséquences positives et négatives de ce choix.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(cf. infra consid. 6.1.2). 5.5.3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Compte tenu de la dualité méthodologique imposée par le législateur à l' art. 28a al. 3 LAI ,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 ATF 134 V 9 ). S'agissant de la part que la personne assurée consacre à l'exercice d'une activité lucrative, il convient, au moment de l'évaluation du degré d'invalidité, de ne pas perdre de vue l'objectif principal de l'assurance-invalidité, tel qu'il ressort du message du Conseil fédéral (cf. supra consid. 5.2),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9C_49/2008 du 28 juillet 2008 consid. 3.3, in FamPra.ch 2010 p. 134). C'est pour ces motifs qu'il se justifie de prendre en compte, pour calculer le revenu sans invalidité, le salaire effectif réalisé par la personne assurée avant la survenance de l'invalidité (voir également ATF 131 V 51 consid. 5.1.2 p. 53). 5.5.4 Pour sa part, la méthode généralement préconisée par la doctrine - et que la recourante suggère d'appliquer à son cas - demande à ce que le revenu sans invalidité soit calculé sur la base d'un temps plein (DUC, op. cit., p. 1425; SCHLAURI, op. cit., p. 334 s.; BAUMANN/LAUTERBURG, op. cit., p. 87 s.; LEUZINGER-NAEF, op. cit., p. 131; RUMO- JUNGO, op. cit., p. 210). Elle implique cependant la prise en compte et l'indemnisation d'un dommage virtuel et fictif, ce qui, on l'a vu, est contraire au but et à l'esprit de l'assurance-invalidité et à la notion d'assurance. L'application de cette méthode corrigée peut même dans certains cas conduire à placer la personne assurée dans une situation économique plus favorable que celle qu'elle connaissait avant la survenance de l'atteinte à la santé, comme l'illustre l'exemple suivant. Dans le cas d'une personne assurée, qui travaillait à mi-temps avant la survenance de l'atteinte à la santé, dispose d'une capacité de travail de 50 % dans son activité lucrative et connaît un empêchement de 35 % dans ses activités habituelles, l'évaluation de l'invalidité, selon la solution proposée par la doctrine, aboutit à un degré d'invalidité de 42,5 % ([0,5 x 50] + [0,5 x 35]), soit à l'ouverture d'un droit à un quart de rente, alors même que la personne assurée est en mesure de réaliser un gain identique à celui qu'elle touchait avant la survenance de l'atteinte à la santé et qu'elle n'aurait pas droit à une rente si la méthode spécifique était appliquée isolément. 5.5.5 Sur le vu des explications qui précèdent, il convient de rejeter l'argumentation selon laquelle l'application de cette méthode aurait pour conséquence de procéder à une double pondération du degré d'invalidité relatif à la part consacrée à l'activité lucrative. Il s'agit dans une première étape de calculer le degré d'invalidité - effectif - de la personne assurée, dans le respect du but et de l'esprit de l'assurance-invalidité, puis seulement dans une seconde étape de pondérer les champs d'activité. 6. 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Elle violerait ainsi les art. 8 et 13 al. 1 Cst. BGE 137 V 334 S. 347 6.1 6.1.1 L' art. 13 al. 1 Cst. , dont la portée est similaire à celle de l' art. 8 par. 1 CEDH ,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privée protège notamment l'identité, le respect de la sphère intime et secrète, l'honneur et la réputation d'une personne, ainsi que ses relations avec les autres, que ce soient ses relations de couple - marié ou non, de sexe différent ou de même sexe - ou ses relations avec son entourage. Le droit au respect de la vie familiale protège cette dernière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(PASCAL MAHON, in Petit commentaire de la Constitution fédérale de la Confédération suisse du 18 avril 1999, 2003, n os 5 et 7 s. ad art. 13 Cst. ). En d'autres mots, le droit au respect de la vie privée et familiale garantit à l'individu un espace de liberté dans lequel il peut se développer et se réaliser, en disposant librement de sa personne et de son mode de vie ( ATF 133 I 58 consid. 6.1 p. 66). 6.1.2 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n'est qu'un facteur parmi d'autres entrant en ligne de compte dans la pondération des intérêts conduisant au choix de la personne assurée. Certes, un Etat social moderne se doit de couvrir les risques sociaux principaux, afin de permettre aux individus de se libérer du souci permanent de leur avenir. Ce devoir n'est toutefois pas sans limite. Il n'existe pas de principe général selon lequel l'Etat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l'Etat sont définis par le législateur, en fonction des objectifs de politique sociale que celui-ci s'est fixés. Le droit au respect de la vie privée et familiale ne saurait à cet égard fonder un droit direct à des prestations positives de l'Etat susceptibles notamment de favoriser l'exercice de la vie familiale ( ATF 134 I 105 consid. 6 p. 109; ATF 120 V 1 consid. 2a p. 4;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 art. 190 Cst. qui prévoit que les lois fédérales et le droit international s'imposent au Tribunal fédéral et aux autres autorités appliquant la loi ( ATF 134 I 105 consid. 6 p. 110).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(voir arrêt I 156/04 du 13 décembre 2005 consid. 5.2, in SVR 2006 IV n° 42 p. 151). La méthode mixte d'évaluation de l'invalidité ne viole par conséquent pas les art. 13 al. 1 Cst. ou 8 par. 1 CEDH. 6.2 6.2.1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Au principe d'égalité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135 I 49 consid. 4.1 p. 53 et les références). 6.2.2 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letype de famille, T 03.02.01.16 [2010, 4 e trimestre]). Le travail à tempspartiel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A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ss; Bureau fédéral de l'égalité entre femmes et hommes, Vers l'égalité entre femmes et hommes, Situation et évolution, 2008, p. 10 ss; voir également PATRICK BOLLÉ, Le travail à temps partiel: liberté ou piège-, Revue internationale du Travail 1997 p. 609 ss). 6.2.3 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(arrêt I 156/04 du 13 décembre 2005 consid. 5.2, in SVR 2006 IV n° 42 p. 151). La méthode mixte d'évaluation de l'invalidité ne viole par conséquent pas l' art. 8 Cst. ” .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Nel caso in esame, con lo scopo di accertare in maniera approfondita lo stato di salute dell’assicurata, l’Ufficio AI ha affidato al Dr. __________ il mandato di esperire una perizia reumatologica (doc. AI 18-1). Nel rapporto dell’8 giugno 2009 il Dr. __________, spec. FMH in reumatologia e medicina interna, dopo aver esposto l’anamnesi della paziente, i dati soggettivi e le constatazioni oggettive è giunto alla seguente diagnosi e valutazione: " (…) 4.   Diagnosi Sindrome lombovertebrale cronica in -     Discopatie L4/5 ed L5/S1 - Disturbi statici del rachide (appiattimento della dorsale, iperlordosi terminale lombare con scoliosi sinistroconvessa lombare) -     Decondizionamento muscolare -     Obesità Coxalgia a destra in - Esiti da impianto di protesi totale dell'anca destra il 19.4.2007 e sostituzione della stessa il 2.5.2007 Gonartrosi bilaterali anamnestiche Piedi traversopiatti bilaterali con alluci valghi e dita a martello, con - Note artrosiche tarsometatarsali a sinistra (risonanza magnetica del piede sinistro del 15.9.2008) Periartropatia omeroscapolare con sintomatologia di attrito a destra in -     Lesione del tendine muscolo sopraspinato - Artrosi acromeoclaveare con acromeon spiovente I con restringimento dello spazio subacromiale Poliartrosi delle dita B.  Conseguenze sulla capacità di lavoro C. Conseguenze sulla capacità d'integrazione Per quanto riguarda la capacità funzionale e di carico residua, giudico come lavoro adatto allo stato di salute attuale, un'attività che tiene pienamente conto della capacità funzionale e di carico residua, descritta nell'allegato. In un lavoro adatto allo stato di salute, giudico l'assicurata, abile al lavoro nella misura del 100 con un rendimento massimo del 100 % a decorrere dall' 1.10.2007, ossia allorché riprendeva a lavorare nella misura del 50 % nella sua ultima attività principale come venditrice. In qualità di venditrice, con il mansionario citato sopra, giudico l'assicurata, abile al lavoro sull'arco di una giornata lavorativa normale, ma con una diminuzione del rendimento del 30 %, dall'l.10.2007 fino al 15.2.2009 e nella misura del 40 %, a decorrere dal 16.2.2009, allorché si individuava una lesione strutturale alla spalla destra portante alla periartropatia omeroscapolare con sintomatologia di attrito a destra con conseguenti limiti funzionali e di carico menzionati nell'allegato. Analogamente, in qualità di casalinga, giudico l'assicurata abile al lavoro sull'arco di una giornata lavorativa normale, ma con una diminuzione del rendimento del 10 %, a decorrere dall' 1.10.2007 fino al 15.2.2009, con una diminuzione del rendimento del 25 % a decorrere dal 16.2.2009. Non penso che le misure terapeutiche sopradiscusse, rispettivamente un intervento chirurgico ortopedico alla spalla destra, potranno sostanzialmente modificare i limiti funzionali e di carico citati nell'allegato e quindi la capacità lavorativa in questa assicurata. Ringraziandovi per la fiducia accordatami, vi porgo i miei più distinti saluti." (Doc. AI 23/8-9) In sede di osservazioni al progetto di decisione del 23 giugno 2010 l’UAI ha predisposto un nuovo accertamento medico reumatologico presso il SMR, volto a valutare la presenza o meno di un peggioramento dello stato di salute (doc. AI 49-1). Nel rapporto dell’11 ottobre 2010 il Dr. __________, spec. FMH in medicina interna, dopo aver illustrato l’anamnesi della paziente, la terapia, i disturbi lamentati e lo status ha posto la seguente diagnosi e valutazione: " (…) Diagnosi: Sindrome lombovertebrale cronica in -   Discopatie L4/5 ed L5/S 1 -   Disturbi statici del rachide (appiattimento della dorsale, iperlordosi terminale lombare con scoliosi sinistro-convessa lombare) -   Decondizionamento muscolare -   Artrosi sintomatica tarso metatarsale piede sinistro (RMN 15.9.2008) -   Esiti di riparazione cuffia dei rotatori spalla destra (08.07.2010) Valutazione/c onclusione: Paziente di 59 anni. Sintomatologia osteoartrosica polidistrettuale. Prevale lombalgia cronica senza segni irritativi. Recente intervento per riparazione cuffia dei rotatori spalla destra. Valutazione peritale Dr. __________ in data 08.06.2009 con definizione di IL in attività abituale: 100% dal 04.2007; 30% da 01.10.2007; 40% dal 16.02.2009. Al confronto con l'obiettività del Dr. __________ si evidenzia peggioramento nei movimenti di flessione ed estensione del rachide lombare. Limitazione della spalla destra in miglioramento nel tempo dopo intervento. Prevale sintomatologia dolorosa aII'avampiede sinistro in nota artrosi dell'arco metatarsale. La valutazione clinica odierna ha permesso di definire i limiti funzionali descritti nell'esame della funzionalità fisica in allegato. Le patologie descritte e documentate determinano in abituale attività lavorativa una IL del 50%. Tale IL è giustificata dalle frequenti posizioni inergonomiche, dai carichi di peso prolungati. Inoltre limite alla deambulazione e stazione eretta prolungata. La prognosi potrà essere favorevole in senso di stazionarietà. In tutte le attività lavorative rispettose dei limiti funzionali risulta esigibile una IL del 40% (tempo di lavoro). Medicalmente giustificata IL 100% in ogni attività dal 07.07.2010 alla data odierna (intervento spalla destra). Tutte le IL documentate vengono intese in termini di tempo lavora rito. IL da adattare al contratto lavorativo. Si allega modulo per la misurazione dell'escursione articolare e modulo per l'esame della funzionalità fisica. Le conclusioni cliniche del presente rapporto medico SMR vengono definite sulla base della piena conoscenza dell'incarto e degli accertamenti approfonditi a disposizione. " (Doc. AI 51/7-8)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Al fine di stabilire il grado d’invalidità, l’Ufficio AI, applicando il metodo misto, ha valutato al 70% la parte dedicata all’attività salariata e al 30% la quota dedicata alle mansioni domestiche. Tale suddivisione deve essere confermata. La stessa si fonda sul questionario del datore di lavoro del 28 ottobre 2008 (doc. AI 15-3, 15-9) ed è stata confermata dalla ricorrente durante l’inchiesta economica per le persone che si occupano dell’economia domestica e dal suo rappresentante (cfr. doc. AI 29-2, doc. I, pag. 1). 2.9. Questo Tribunale, chiamato a verificare se lo stato di salute della ricorrente è stato accuratamente vagliato prima dell’emissione della decisione impugnata, dopo attenta analisi della documentazione medica agli atti, non può confermare l’operato dell’amministrazione, in quanto la problematica reumatologica non è stata chiarita in modo soddisfacente. L’assicurata è stata sottoposta ad un esame reumatologico ad opera del Dr. __________, spec. FMH in reumatologia e medicina interna, il quale nella perizia dell’8 giugno 2009 ha diagnosticato una “ Sindrome lombo vertebrale cronica in – Discopatie L4/5 ed L5/S1. - Disturbi statici del rachide (appiattimento della dorsale, iperlordosi terminale lombare con scoliosi sinistroconvessa lombare). Decondizionamento muscolare. Obesità. Coxalgia a destra in – Esiti da impianto di protesi totale dell’anca destra il 19.4.2007 e sostituzione della stessa il 2.5.2007. Gonartrosi bilaterali anamnestiche. Piedi traversopiatti bilaterali con alluci valghi e dita a martello, con – Note artrosiche tarsometatarsali a sinistra (risonanza magnetica del piede sinistro del 15.9.2008). Periartropatia omeroscapolare con sintomatologia di attrito a destra in – Lesione del tendine muscolo sopraspinato. – Artrosi acromeoclaveare con acromeon spiovente I con restringimento dello spazio subacromiale. Poliartrosi delle dita ” (doc. AI 23-8+9). Per quanto riguarda la capacità lavorativa residua - secondo il perito - l’assicurata nell’ultima attività lavorativa di venditrice è da considerare abile al lavoro al 70% dal 1° ottobre 2007 al 15 febbraio 2009 e al 60% dal 16 febbraio 2009, in presenza della lesione strutturale alla spalla destra (doc. AI 23-9). In attività adeguata RI 1 è abile al lavoro in misura piena (100%) dal 1° ottobre 2007, mentre quale casalinga l’abilità è del 90% dal 1° ottobre 2007 al 15 febbraio 2009 e del 75% dal 16 febbraio 2009 (doc. AI 23-9). Il medico curante, Dr. __________, spec. FMH in chirurgia ortopedica, nel rapporto del 30 settembre 2009 e nello scritto del 1° ottobre 2009, pur non discostandosi dalla diagnosi posta dal perito aveva già indicato un “ lento e graduale peggioramento ” con particolare riferimento ai dolori lombari “ più ingravescenti con a volte l’apparizione di parestesie e radicolopatie nonostante terapia medicamentosa, fisioterapia e un ciclo infiltrativo a livello delle faccette articolari L4/L5” . Il medico curante riteneva opportuno il riconoscimento di un’incapacità lavorativa del 100% (doc. AI 32-1; 33-1). Nello scritto del 1° marzo 2010 il medesimo specialista ribadiva la totale incapacità al lavoro (100%) di RI 1 . Nel certificato del 14 giugno 2010 il Dr. __________ ha nuovamente attestato un lento ma graduale peggioramento del quadro clinico con l’apparizione, a livello della spalla destra, di una “ rottura a tutto spessore del sovraspinato retratta per 2 cm ”(doc. AI 47-2). Su indicazione del medico del SMR, Dr. __________, l’amministrazione ha svolto quindi un nuovo accertamento – presso il SMR – della patologia reumatologica allo scopo di valutare l’evoluzione dello stato di salute dell’assicurata (doc. AI 49-1). Nel rapporto dell’11 ottobre 2010 del SMR il Dr. __________, spec. FMH in medicina interna, ha posto la diagnosi di “ Sindrome lombovertebrale cronica in – Discopatie L4/5 ed L5/S1. - Disturbi statici del rachide (appiattimento della dorsale, iperlordosi terminale lombare con scoliosi sinistro-convessa lombare). Decondizionamento muscolare. Artrosi sintomatica tarso metatarsale piede sinistro (RMN 15.9.2008). - Esiti da riparazione cuffia dei rotatori spalla destra (08.07.2010)” (doc.AI 51-7). Secondo il medico del SMR l’assicurata nell’abituale attività è inabile al 50%, mentre in attività adeguate e rispettose dei limiti funzionali l’inabilità è del 40%. Dal 7 luglio 2010 fino alla data della perizia vi è inabilità al 100% per l’intervento alla spalla destra (doc. AI 51-8). Questa valutazione del Servizio Medico Regionale (SMR) dell’AI non convince il TCA. Infatti, il medico del SMR, pur riconoscendo un peggioramento del quadro clinico rispetto a quanto valutato dal Dr. __________: “ nei movimenti di flessione ed estensione del rachide lombare. Limitazione della spalla destra in miglioramento nel tempo dopo intervento. Prevale sintomatologia dolorosa all’avanpiede sinistro in nota artrosi dell’arco metatarsale ” (doc. AI 51-8) ha fissato un’inabilità lavorativa totale dal 7 luglio 2010 (per l’intervento di riparazione della cuffia dei rotatori alla spalla destra) fino alla data della perizia (11 ottobre 2010) per poi indicare un’inabilità al 50% nell’abituale lavoro e al 40% in attività adeguate (doc. AI 51-8) senza tuttavia adeguatamente motivare le ragioni che hanno spinto il perito a fissare un’inabilità lavorativa totale dalla data dell’intervento soltanto fino a quello della visita presso il SMR. L’inabilità lavorativa al 100% è stata ridotta al 50% (ultima attività) e al 40% (attività adeguate) a far tempo dall’11 ottobre 2010 verosimilmente solo perché a quel momento la paziente è stata peritata. La valutazione dell’amministrazione non convince per un’ulterore ragione. Nel certificato medico del 12 maggio 2011 il Dr. __________ ha fissato un’inabilità lavorativa del 100% fino a data da stabilire in considerazione di un consulto presso il Dr. __________ inteso a valutare un intervento al piede sinistro (doc. A6), Nello scritto del 26 maggio 2011 __________ viene quindi prospettato per il 16 giugno 2011 un intervento chirurgico di “ Artrodesi tarso metatarsale 2 e 3 ed escissione nervo intermetatarsale 2 e 3 e osteotomia MT+ F+ Dig1 sinistra ” (doc. A5). La documentazione medica in questione è stata sottoposta al SMR per valutazione. Nelle annotazioni del 10 giugno 2011 il Dr. __________ ha fissato un’inabilità lavorativa totale (100%) per qualsiasi attività lavorativa dal 12 maggio 2011 per una durata di 3-6 mesi (doc. IV1). L’UAI ha concluso indicando che la nuova refertazione medica prodotta si riferisce ad un’epoca successiva alla data di emissione della decisione impugnata e dunque non pertinente. Per consolidata giurisprudenza il giudice delle assicurazioni sociali valuta la legalità della decisione impugnata in base alla situazione di fatto esistente al momento in cui essa è stata resa, – in concreto il 3 maggio 2011 – quando si ritenga che fatti verificatisi ulteriormente possono influire quali elementi di accertamento retrospettivo della situazione anteriore alla decisione stessa (DTF 127 V 251 consid. 4d, 121 V 366 consid. 1b, 116 V 248 consid. 1a, 112 V 93 consid. 3, 99 V 102). Le certificazioni dell’__________ del 26 maggio 2011 e quella del 12 maggio 2011 del Dr. __________ prodotte dalla ricorrente in via ricorsuale, sono successive di pochissimi giorni alla decisione impugnata. Secondo questa Corte esse vanno tuttavia prese in considerazione, in quanto visto il periodo di tempo molto breve intercorso tra la decisione impugnata e i referti in questione, non si può escludere che facciano riferimento ad un quadro clinico antecedente al provvedimento contestato. Esse sono dunque suscettibili di mettere in evidenza elementi di accertamento retrospettivo della situazione precedente la decisione del 3 maggio 2011 (cfr. STFA U 299/02 del 2 settembre 2003). 2.10.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Chiamato a pronunciarsi, il TCA, in applicazione della giurisprudenza di cui alla STF 8C_216/2009 del 28 ottobre 2009, pubblicata in DTF 135 V 465 sopra esposta, ritiene che, nel caso di specie - alla luce della divergenza di valutazione esistente, quanto all’influsso delle patologie reumatologiche sulla capacità lavorativa residua dell’assicurata tra quanto stabilito dal SMR e quanto invece valutato dai medici curanti Dr. __________ e Dr. __________ – non sia possibile, in mancanza di ulteriori approfondimenti, stabilire con precisione quale sia l’esigibilità lavorativa dell’assicurata. In particolare, andrà ulteriormente approfondita la questione se vi è stato o meno un peggioramento del quadro reumatologico anteriormente al provvedimento impugnato. Questi aspetti dovranno quindi essere approfonditi dall’UAI tramite un complemento peritale da parte del Dr. __________ del SMR. 2.11.   Nella già citata sentenza 9C_243/2010 del 28 giugno 2011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concreta evenienza, ritenuto come vi siano degli accertamenti peritali svolti dall’amministrazione che necessitano un complemento (“ Ergänzung von gutachtlichen Ausführungen ”) , si giustifica il rinvio degli atti all’UAI ai sensi della giurisprudenza citata. La decisione impugnata va quindi annullata e l'incarto retrocesso all'Ufficio AI, affinché metta in atto un approfondimento inteso a delucidare le ripercussioni della patologia reumatologica sulla capacità lavorativa dell’assicurata come precisato al consid. 2.10.. Quindi, in esito a tale complemento istruttorio, l’amministrazione si pronuncerà nuovamente sul diritto alla rendita. 2.12. V isto l'esito favorevole del ricorso, l'assicurata, patrocinata da un sindacato, ha diritto al versamento da parte dell’Ufficio AI di un importo di fr. 1’000.-- a titolo di ripetibili.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