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32.2011.141 vom 25. März 2011</w:t>
      </w:r>
    </w:p>
    <w:p>
      <w:r>
        <w:t>TI Tribunale d'appello, 2011-03-25, IT</w:t>
      </w:r>
    </w:p>
    <w:p>
      <w:r>
        <w:rPr>
          <w:b/>
        </w:rPr>
        <w:t xml:space="preserve">Quelle: </w:t>
      </w:r>
      <w:r>
        <w:t>https://mcp.opencaselaw.ch/entscheid/ti_gerichte_32.2011.141</w:t>
      </w:r>
    </w:p>
    <w:p>
      <w:r>
        <w:t>FR: TI_GERICHTE 32.2011.141 du 25 mars 2011</w:t>
      </w:r>
    </w:p>
    <w:p>
      <w:r>
        <w:t>IT: TI_GERICHTE 32.2011.141 del 25 marzo 2011</w:t>
      </w:r>
    </w:p>
    <w:p>
      <w:pPr>
        <w:pStyle w:val="Heading2"/>
      </w:pPr>
      <w:r>
        <w:t>Regeste</w:t>
      </w:r>
    </w:p>
    <w:p>
      <w:r>
        <w:t>L'UAI ha rettamente respinto la domanda di provvedimenti professionali essendo il grado d'invalidità del 7%</w:t>
      </w:r>
    </w:p>
    <w:p>
      <w:pPr>
        <w:pStyle w:val="Heading2"/>
      </w:pPr>
      <w:r>
        <w:t>Erwägungen</w:t>
      </w:r>
    </w:p>
    <w:p>
      <w:r>
        <w:rPr>
          <w:b/>
        </w:rPr>
        <w:t>E. 16</w:t>
      </w:r>
    </w:p>
    <w:p>
      <w:r>
        <w:t>LAI), la riformazione professionale (art. 17 LAI) ed il collocamento (art.</w:t>
      </w:r>
    </w:p>
    <w:p>
      <w:r>
        <w:rPr>
          <w:b/>
        </w:rPr>
        <w:t>E. 18</w:t>
      </w:r>
    </w:p>
    <w:p>
      <w:r>
        <w:t>cpv. 1 LAI). 2.3.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Ai sensi dell’art.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2.6.   Nella decisione impugnata l’UAI ha negato all’assicurato il diritto a prestazioni dell’assicurazione invalidità sulla base della valutazione del SMR. Nel rapporto del 6 dicembre 2010 il medico del SMR, Dr. __________, spec. FMH in chirurgia, dopo aver esposto l’anamnesi del paziente, i disturbi soggettivi, la terapia e lo status ha posto la seguente diagnosi e valutazione: " (…) Diagnosi St. dopo ernioplastica inguinale destra sec. Lichteinstein 2000 St. dopo revisione per sindrome da intrappolamento nervo ileo inguinale destro 2008 Valutazione/conclusione: Siamo confrontati con un A. 35enne, in buone condizioni generali di salute che riferisce dolore e fastidio in regione inguinale destra tale da limitarne l'attività lavorativa, stato dopo due interventi chirurgici per ernioplastica e resezione nervo ileo inguinale destro per nevralgia. Dalla letteratura internazionale si evince come il dolore cronico stato dopo intervento di ernioplastica con posa di rete secondo tecnica di Lichteinstein (tension free) possa rappresentare un importante, severa complicanza a lungo termine. È una condizione debilitane, che può limitare e compromettere la qualità di vita del paziente che compare o persiste mesi dopo l'intervento chirurgico. L'incidenza riportata in letteratura varia da casistica e casistica circa dal 2% al 30%. Al contrario del dolore acuto caratterizzato da insorgenza precoce dopo l'intervento, di facile gestione con una terapia analgesica e risoluzione entro 15-30 giorni, il dolore cronico persiste o si manifesta dopo 3-6 mesi dall'intervento compromettendo la ripresa dell'attività lavorativa e delle attività quotidiane, può essere refrattario alla terapia con analgesici e richiedere un successivo trattamento chirurgico. Il dolore post-ernioplastica può riconoscere cause di tipo non-neuropatico e di tipo neuropatico. Le cause di natura non neuropatica comprendono la formazione di tessuto cicatriziale in esiti di precedenti interventi di ernioplastica, la pressione esercitata da materiale protesico sui tessuti adiacenti compreso il dotto deferente, la reazione periostale indotta da suture sul tubercolo pubico. Il dolore di tipo neuropatico invece può essere causato dalla compressione di uno o più nervi da parte di tessuto fibroso perineurale, di suture o di materiale protesico (mesh e plug) o dalla sezione parziale o completa delle strutture nervose o dalla formazione di neuromi. Poco uniformi sono ancora in letteratura i dati riguardanti il tipo di trattamento più opportuno e l'efficacia delle varie procedure proposte mancando soprattutto un follow-up a lungo termine dei pazienti e una valutazione dell'intensità del dolore a distanza e delle sue ripercussioni sulla qualità di vita e sulle attività del paziente. L'intervento chirurgico di neurectomia dei nervi ileo-inguinale, ileo-ipogastrico e della branca genitale del nervo genito-femorale sembra ottenere nelle varie casistiche la risoluzione completa della sintomatologia in un'alta percentuale di casi. Il trattamento del dolore cronico è un argomento molto dibattuto e controverso, sul quale mancano ancora in letteratura delle indicazioni univoche. L'approccio al paziente deve essere graduale e progressivo. Inizialmente possono essere somministrati antinfiammatori non steroidei che si sono mostrati efficaci in alcuni pazienti. Successivamente, nei pazienti non responsivi alla terapia farmacologica deve essere proposto il blocco nervoso periferico con cortisone e anestetico locale, procedura che permette in molti pazienti di alleviare in maniera temporanea o definitiva la sintomatologia. Il trattamento chirurgico del dolore cronico post­ernioplastica presenta nelle varie casistiche percentuali di risoluzione della sintomatologia nel 70-80% dei casi anche se i follow-up sono finora di durata limitata. Dall'esame obiettivo eseguito in data odierna, coesistono delle diversità oggettive/soggettive come anche nella documentazione medica nel dossier: l'A. riferisce un "dolore ingravescente", fisso continuo in regione inguinale destra, poi con irradiazione alla coscia destra, poi con deficit funzionale di forza della stessa coscia destra, in stato dopo due interventi chirurgici sopramenzionati nelle diagnosi, senza dati oggettivabili dal lato clinico­ obbiettivo dopo la visita odierna. Dalle prove funzionali emerge un quadro di completa mobilità articolare senza dolori o fastidi attestabili. Esame neurologico non esaustivo. Pertanto ritengo medicalmente non giustificata un'IL del 50% dallo 06.12.2010 in attività abituale quale pittore e giudico una IL dello 0% dallo 06.12.2010 in tutte le attività lavorative di tipo medio-leggero ed anche simili a quella che sta effettuando. Trovo altresì proponibile al persistere della situazione clinica una nuova presa a carico chirurgica nel sospetto di un mal posizionamento/ consolidazione della rete protesica (posata nel 2000) che potrebbe essere causa della "sensazione" di tensione muscolare in regione inguinale o di una sindrome da intrappolamento di altri nervi (ileo femorale o genito-femorale) non valutata nel corso di revisione chirurgica nel 2009, che potrebbe indirizzare verso un terzo look chirurgico con perdita però temporanea dall'attività lavorativa (un mese circa). Bibliografia Neuropathy after herniorrhaphy: indication for surgical treatment and outcome. Vuilleumier H, H ü bner M, Demartines N. Department of Visceral Surgery, Centre Hospitalier Universtaire Vaudois (CHUV), University Hospital, Lausanne, Rue du Bugnon 46, 1011, Lausanne, Switzerland. World J Surg. 2009 Apr;33(4): 841-5. Re-operation due to severe late-onset persisting groin pain following anterior inguinal hernia repair with mesh S. Delikoukos, F. Fafoulakis, G. Christodoulidis, T. Theodoropoulos and C. Hatzitheofilou Hernia 2008 Dec; 12(6):593-5. Epub 2008 Jun 10. Surgical management of chronic pain after inguinal hernia repair. Aasvang E, Kehlet H. Section of Surgical Pathophysiology 4074, The Juliane Marie Centre, Rigshospitalet, Copenhagen, Denmark. Br J Surg. 2005 Jul; 92(7): 795-801. Osservazioni: L'A. dichiara quanto segue durante il colloquio: "...di essere in disoccupazione dal 01.11.2010 al 50% perché avrebbe richiesto lui stesso al medico curante tale possibilità al fine di trovare un nuovo posto di lavoro. Richiede per esplicito di poter essere riqualificato, poi ritratta e richiede una rendita al 50%, infine richiede un'altra visita e di essere rioperato ipotizzando una persistenza post operatoria della sintomatologia tale da permettere una nuova richiesta all'AI per rendita. Afferma inoltre di voler andare da uno psichiatra al fine di farsi certificare alterazioni dello stato psichico, come asserisce di aver "sentito" da conoscenti che percepiscono una rendita Al e conducono addirittura attività lucrativa in nero" Durante il colloquio/visita (della durata di un'ora e mezza) l'A. non ha chiesto di cambiare l'ergonomia della postura seduta, né si è mai lamentato di sintomatologia dolorosa o altri sintomi. " (Doc. AI 28/5-6)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w:t>
      </w:r>
    </w:p>
    <w:p>
      <w:r>
        <w:rPr>
          <w:b/>
        </w:rPr>
        <w:t>E. 23</w:t>
      </w:r>
    </w:p>
    <w:p>
      <w:r>
        <w:t>aprile 2008; STFA I 462/05 del 25 aprile 2007; STFA U 329/01 e U 330/01 del</w:t>
      </w:r>
    </w:p>
    <w:p>
      <w:r>
        <w:rPr>
          <w:b/>
        </w:rPr>
        <w:t>E. 25</w:t>
      </w:r>
    </w:p>
    <w:p>
      <w:r>
        <w:t>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effettuata dal SMR, da considerare dettagliata, approfondita e quindi rispecchiante i parametri giurisprudenziali sopra ricordati. Nel rapporto medico del 6 dicembre 2010 il Dr. __________ ha posto la diagnosi con influsso sulla capacità lavorativa di “ Stato dopo ernioplastica inguinale destra sec. Lichtenstein (maggio 2000) ” e indicato che, in considerazione di un quadro di completa mobilità articolare senza dolori o fastidi attestabili, non è giustificata un’inabilità lavorativa del 50% nell’attività abituale di pittore, ma l’assicurato è da considerare pienamente abile in tutte le attività lavorative dal 6 dicembre 2010 (doc. AI 28-6). Il TCA non ha motivo per distanziarsi da tale valutazione peritale, che non è del resto stata smentita da certificati medico-specialistici attestanti delle patologie maggiormente invalidanti, in grado di influire sulla capacità lavorativa residua dell’interessato. In sede di osservazioni al progetto di decisione del 7 febbraio 2011 è stato prodotto unicamente un breve certificato medico del Dr. __________, spec. FMH in medicina interna, che ha attestato un’inabilità lavorativa del 50% dal 14 febbraio al 13 marzo 2011. Questo certificato stringato, privo di diagnosi, senza una valutazione delle patologie dell’interessato e del loro influsso sulla capacità lavorativa, senza esporre il decorso della patologia, indicare una prognosi e fornire una descrizione dei trattamenti intrapresi, non adempie quindi i requisiti richiesti dalla giurisprudenza per ritenere che un rapporto medico abbia valore probatorio (cfr. consid. 2.5.) e non è atto a mettere in dubbio le conclusioni alle quali è giunto il medico SMR. Non permette una diversa valutazione neppure il rapporto dell’8 giugno 2010, posteriore dunque alla decisione impugnata, del Dr. __________, primario di chirurgia dell’Ospedale Regionale di __________, nel quale vengono riassunti gli interventi subìti dal paziente dal 2000, con particolare riferimento all’erniotomia secondo tecnica di Shouldice o Lichtenstein. Il Dr. __________ ha quindi concluso il proprio scritto indicando che l’assicurato è “ ancora giovane e in principio abile al lavoro ” (doc. B). Nelle annotazioni del 5 luglio 2011 il Dr. __________ del SMR, dopo aver ripreso le conclusioni del proprio precedente rapporto del 17 dicembre 2010 ha confermato la stazionarietà del quadro sintomatologico (doc. Xbis). Per quanto riguarda infine la problematica psichica sollevata dal ricorrente nello scritto del 28 giugno 2011 (doc. VIII), va sottolineato che la stessa non è stata oggettivata in alcun modo. A tal proposito il Dr. __________ nelle annotazioni del 5 luglio 2011 ha precisato che “ allo stato attuale il dolore cronico potrebbe configurare un disagio psicologico senza influsso sulla CL e da ben differenziare da una patologia psichiatrica, attualmente non attestata né sospettata ” (doc. Xbis, la sottolineatura è del redattore).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valutazione del SMR i criteri di affidabilità e completezza richiesti dalla giurisprudenza (cfr. consid. 2.7.),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pienamente abile al lavoro in ogni attività dal 6 dicembre 2010. Nel rapporto del 26 gennaio 2011 la Consulente in integrazione professionale ha messo in evidenza che in base alla documentazione medica (rapporto del SMR) l’assicurato è pienamente abile al lavoro in “ qualunque attività lavorativa di tipo medio-leggero ” nel rispetto delle limitazioni indicate in sede medica (doc. AI 31-2). 2.9.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2010. L’amministrazione ha effettuato il confronto dei redditi con i dati del 2009. 2.9.1.   Per quel che concerne il reddito da valido , il cui importo non è del resto stato contestato in sede di ricorso (doc. I), l’UAI ha quantificato il reddito che l’assicurato avrebbe potuto percepire da sano in fr. 61’503.-- nel 2009 (cfr. questionario del datore di lavoro del 22 settembre 2010, doc. AI 12-1). 2.9.2.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5-2010, p. 86 ), esso ammonta a fr. 4'998.24 mensili oppure a fr. 59'978.88 per l'intero anno (fr. 4'998.24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2009 (cfr. tab. B 10.3, pubblicata in La Vie économique, 10-2010, p. 95), un reddito mensile di fr. 5'104.10 oppure di fr. 61'249.27 per l'intero anno (fr. 5'104.10 x 12). L’assicurato, quale pittore, avrebbe guadagnato nel 2009 fr. 61'503.-- / anno per un’occupazione a tempo pieno (cfr. consid. 2.9.1.). Tale reddito si situa, per ragioni estranee all’invalidità, sotto la media dei salari svizzeri per un’attività equivalente (cioè fr. 65'621.71, cfr. Tabella TA1 p.to 45 “ Costruzioni” , livello di qualifica 4, fr. 5'150.-- X 12 mesi = 61’800.-- riportato su 41.6 = fr. 64'272.-- e aggiornato al 2009). Se si riduce il reddito statistico da invalido, in applicazione della giurisprudenza di cui alla 8C_44/2009 del 3 giugno 2009, della percentuale dello 1,27% (parte percentuale eccedente la soglia determinante del 5%) si ottiene un importo di fr. 60'471.40. 2.9.3.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w:t>
      </w:r>
    </w:p>
    <w:p>
      <w:r>
        <w:rPr>
          <w:b/>
        </w:rPr>
        <w:t>E. 28</w:t>
      </w:r>
    </w:p>
    <w:p>
      <w:r>
        <w:t>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2.9.4.   In concreto, l’amministrazione ha applicato una riduzione del 5% per attività leggera (doc. AI 33-2).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Nella presente fattispecie la percentuale del 5% può essere confermata dal TCA. Questa soluzione si giustifica tanto più se si considera che per costante giurisprudenza il giudice non può scostarsi dalla valutazione dell’amministrazione senza fondati motivi. Procedendo quindi al raffronto dei redditi, partendo da un salario da invalido di fr . 60'471.40 e ammettendo la riduzione del 5%, il reddito ipotetico dell’insorgente ammonta, quindi, a fr. 57'447.83 confrontando ora questo dato con l’ammontare del reddito da valido nel medesimo anno di fr. 61’503.-- (consid. 2.9.1) emerge un tasso d’invalidità del 6,5% arrotondato al 7% secondo la giurisprudenza di cui alla DTF 130 V 121 consid. 3.2. = SVR 2004 UV Nr. 11 pag. 41), percentuale che non dà diritto a prestazioni dell’assicurazione invalidità, come stabilito dall’amministrazione. Va precisato che l’amministrazione, per il confronto dei redditi, ha applicato i dati del 2009 invece del 2010, come invece avrebbe dovuto secondo la giurisprudenza in materia (cfr. DTF 129 V 222; SVR 2002 IV Nr. 24 ; SVR 2003 IV Nr.11). Questo modo di operare non è corretto. Tuttavia, considerato l’esiguo grado d’invalidità dell’assicurato (7%), il TCA ritiene che anche applicando i dati del 2010 (+0,8% secondo l’indice dei salari nominali, Ufficio federale di statistica), la soluzione finale non cambierebbe. 2.10.   Richiamato il consid. 2.3. essendo il grado di invalidità dell’insorgente inferiore al 20%, RI 1 non ha dunque diritto ad una riformazione professionale. Nella misura in cui l’UAI ha respinto la richiesta di una riqualifica professionale la sua decisione formale del 25 marzo 2011 merita conferma. Questo Tribunale rileva comunque che la consulente IP, nel rapporto del 26 gennaio 2011, ha indicato che rimane aperta per l’assicurato la possibilità di far capo alla consulenza e al sostegno da parte dei collocatori dell’AI sulla base dell’art. 18 LAI, segnatamente qualora il danno alla salute sia d’impedimento alla ricerca di un posto di lavoro (cfr. anche DTF 116 V 85 con riferimenti; SVR 2003 IV Nr. 11 pag. 34 consid. 4.4.; in merito cfr. anche Cattaneo, La promozione dell’autonomia del disabile: esempi scelti dalle assicurazioni sociali, RDAT I 2003 pag. 595s). Spetta dunque all’assicurato, se del caso, attivarsi in questo senso e ricontattare la Consulente IP. 2.11.   Va poi evidenziato che ai sensi dell’art. 29 cpv. 1 LAI il diritto alla rendita nasce al più presto dopo sei mesi dalla data in cui l’assicurato ha rivendicato il diritto alle prestazioni conformemente all’articolo 29 capoverso 1 LPGA. Dalla documentazione agli atti emerge che a Gianfranco Giovinazzo è riconosciuta un’inabilità lavorativa completa (100%) dal 3 luglio 2009 al 16 novembre 2009 e al 50% dal 17 novembre 2009 al 5 dicembre 2010 (cfr. doc. AI 28-1) che darebbe diritto all’assicurato ad una rendita transitoria. Tuttavia, l’insorgente ha presentato la domanda per l’ottenimento di prestazioni AI solo in data 12 settembre 2010 (cfr. doc. AI 6-9). Il diritto alla rendita nasce dunque nel mese di marzo 2011 quando non sussisteva già più l’inabilità lavorativa (cfr. consid. 2.8.). Ne discende che l’assicurato non ha diritto neppure ad una rendita transitoria. 2.12.   L’assicurato nel proprio atto ricorsuale ha chiesto che venga esperita una perizia reumatologica-ortopedica e psichiatrica (doc. VIII+B).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w:t>
      </w:r>
    </w:p>
    <w:p>
      <w:r>
        <w:rPr>
          <w:b/>
        </w:rPr>
        <w:t>E. 29</w:t>
      </w:r>
    </w:p>
    <w:p>
      <w:r>
        <w:t>cpv. 2 Cost. (DTF 124 V 94 consid. 4b, 122 V 162 consid. 1d, 119 V 344 consid. 3c con riferimenti). In concreto, alla luce delle risultanze di cui sopra, questo Tribunale ritiene la fattispecie sufficientemente chiarita, per cui non appare necessario procedere ad altri accertamenti medici.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