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32.2011.129 vom 16. März 2011</w:t>
      </w:r>
    </w:p>
    <w:p>
      <w:r>
        <w:t>TI Tribunale d'appello, 2011-03-16, IT</w:t>
      </w:r>
    </w:p>
    <w:p>
      <w:r>
        <w:rPr>
          <w:b/>
        </w:rPr>
        <w:t xml:space="preserve">Quelle: </w:t>
      </w:r>
      <w:r>
        <w:t>https://mcp.opencaselaw.ch/entscheid/ti_gerichte_32.2011.129</w:t>
      </w:r>
    </w:p>
    <w:p>
      <w:r>
        <w:t>FR: TI_GERICHTE 32.2011.129 du 16 mars 2011</w:t>
      </w:r>
    </w:p>
    <w:p>
      <w:r>
        <w:t>IT: TI_GERICHTE 32.2011.129 del 16 marzo 2011</w:t>
      </w:r>
    </w:p>
    <w:p>
      <w:pPr>
        <w:pStyle w:val="Heading2"/>
      </w:pPr>
      <w:r>
        <w:t>Regeste</w:t>
      </w:r>
    </w:p>
    <w:p>
      <w:r>
        <w:t>Decisione con la quale UAI ha rifiutato all'assicurato il diritto a prestazioni è corretta,dato che egli,ancora abile all'80% nella sua professione,presenta un grado di invalidità insufficiente per avere diritto ad una rendita di invalidità</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specialistica del dr. __________ del SMR, da considerare dettagliata, approfondita e quindi rispecchiante i parametri giurisprudenziali sopra ricordati. Nel rapporto peritale del 25 ottobre 2010, il dr. __________, posta la diagnosi di “disturbo da disadattamento con reazione mista ansiosa-depressiva in remissione”, ha ritenuto l’interessato abile al lavoro all’80% in qualsiasi attività a partire dal 1° settembre 2010 (doc. 33-5). L’assicurato ha contestato queste conclusioni peritali, trasmettendo dei referti specialistici del suo psichiatra curante, dr. __________, attestanti una totale inabilità lavorativa dal 16 marzo 2011 (cfr. doc. A3), a causa di “un disturbo depressivo ansioso grave innestato su una struttura psicologica stato limite” (doc. A5). Al riguardo, il dr. __________, nelle annotazioni del 6 maggio 2011, ha rilevato che la diagnosi posta dal curante di “un disturbo depressivo ansioso grave innestato su una struttura psicologica stato limite” non costituisce una “psicopatologia identificabile secondo ICD10”, aggiungendo che “come diagnosi secondo ICD10, è posto “disturbo di personalità emotivamente instabile, tipo impulsivo, con codice F60.30: non si tratta dunque di sindrome depressiva rispettivamente ansiosa” (doc. IV/bis). Il dr. __________ ha poi indicato che lo psichiatra curante ha fornito “una descrizione generica dei sintomi tipici di tale disturbo di personalità”, segnalando una generica crisi familiare, senza ulteriori spiegazioni (doc. IV/bis). Infine, a proposito degli atti auto ed etero lesivi cui ha fatto riferimento il dr. __________, il dr. __________ ha sottolineato che “non sono specificati provvedimenti medici di alcun tipo, che sono necessari in questo caso fino all’ospedalizzazione coatta” (doc. IV/bis). Pertanto, secondo il dr. __________, alla luce di queste riflessioni, “non sono riportati segni o sintomi oggettivi rispettivamente non emergono elementi nuovi che giustifichino ulteriori accertamenti” (doc. IV/bis). Il TCA condivide queste considerazioni dello specialista del SMR, che non sono state, del resto, ulteriormente contestate dall’assicurato attraverso una nuova presa di posizione da parte dello psichiatra curante. Questa soluzione si giustifica tanto più, se si considera che in una sentenza 32.2011.63 del 26 settembre 2011, il TCA, dopo avere interpellato espressamente gli specialisti del CPAS a tale riguardo, ha accertato che i disturbi della personalità, in generale, non implicano una diminuzione della capacità lavorativa se non in fase di scompenso.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Giova qui inoltre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Questa Corte ritiene pertanto che lo stato di salute dell’assicurato sia stato dettagliatamente ed approfonditamente vagliato dallo specialista del SMR. In conclusione, rispecchiando la perizia del dr. __________ del SMR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al lavoro al 20% in qualsiasi attività, a partire dal mese di settembre 2010. 2.8.   In queste condizioni, questo Tribunale, constatato che l’assicurato conserva, a partire da settembre 2010, una capacità lavorativa residua dell’80% nella sua precedente attività di revisore doganale, nella quale è in grado di conseguire, mettendo a frutto la sua capacità lavorativa residua, un reddito corrispondente all’80% del reddito realizzabile senza il danno alla salute (100%), ritiene che, come indicato dall’UAI, l’incapacità lucrativa del ricorrente ammonta al 20% (cfr. al riguardo DTF 114 V 310 consid. 3a pag. 313 con riferimenti; STF 9C_776/2007 del 14 agosto 2008; STF 9C_559/2009 del 18 dicembre 2009), percentuale che non dà diritto ad una rendita di invalidità .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Nella misura in cui l’UAI ha rifiutato il diritto dell’assicurato ad una rendita d’invalidità, la decisione del 16 marzo 2011 deve, perciò, essere confermata.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