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32.2011.105 vom 21. Februar 2011</w:t>
      </w:r>
    </w:p>
    <w:p>
      <w:r>
        <w:t>TI Tribunale d'appello, 2011-02-21, IT</w:t>
      </w:r>
    </w:p>
    <w:p>
      <w:r>
        <w:rPr>
          <w:b/>
        </w:rPr>
        <w:t xml:space="preserve">Quelle: </w:t>
      </w:r>
      <w:r>
        <w:t>https://mcp.opencaselaw.ch/entscheid/ti_gerichte_32.2011.105</w:t>
      </w:r>
    </w:p>
    <w:p>
      <w:r>
        <w:t>FR: TI_GERICHTE 32.2011.105 du 21 février 2011</w:t>
      </w:r>
    </w:p>
    <w:p>
      <w:r>
        <w:t>IT: TI_GERICHTE 32.2011.105 del 21 febbraio 2011</w:t>
      </w:r>
    </w:p>
    <w:p>
      <w:pPr>
        <w:pStyle w:val="Heading2"/>
      </w:pPr>
      <w:r>
        <w:t>Regeste</w:t>
      </w:r>
    </w:p>
    <w:p>
      <w:r>
        <w:t>Corretta la decisione con la quale l'UAI ha rifiutato, in sede di nuova domanda, il diritto a prestazioni ad un'assicurata, in difetto di un grado di invalidità pensionabile</w:t>
      </w:r>
    </w:p>
    <w:p>
      <w:pPr>
        <w:pStyle w:val="Heading2"/>
      </w:pPr>
      <w:r>
        <w:t>Erwägungen</w:t>
      </w:r>
    </w:p>
    <w:p>
      <w:r>
        <w:rPr>
          <w:b/>
        </w:rPr>
        <w:t>E. 2</w:t>
      </w:r>
    </w:p>
    <w:p>
      <w:r>
        <w:t>Cost. non implica il diritto di esprimersi oralmente bensì quello di prendere posizione per iscritto (Pratique VSI 2003 Nr. 97 p. 520; STFA 13 novembre 2002 [4P.195/2002]; Pratique VSI 1993 p. 42; Locher, Grundriss des Sozialversicherungsrechts, 2003, p. 450; DTF 127 V 494, 125 I 219, 122 II 469), eccezion fatta per i casi in cui una norma scritta prevede espressamente il diritto ad una audizione orale (Pra 2003 Nr. 97 p. 520). Secondo l’art. 42 LPGA le parti hanno diritto di essere sentite e le stesse non devono obbligatoriamente essere sentite prima di decisioni impugnabili mediante opposizione. Al più tardi durante la procedura di opposizione l'amministrazione deve dare la possibilità alla parte interessata di pronunciarsi sulle prove e sulla procedura in forma sufficiente (DTF 132 V 374 consid. 6). L’Alta Corte federale ha stabilito che una parte è tenuta a formulare una domanda per ottenere il diritto di consultare gli atti. Ciò presuppone che gli interessati vengano informati se nuovi atti decisivi, che essi non conoscono e nemmeno possono conoscere, sono versati agli atti (DTF 132 V 391 consid. 6.2). Nel caso in esame può restare aperta la questione a sapere se l’assicurata è stata lesa nel suo diritto di essere sentita. Da una parte, è vero che il dr. __________, con scritto del 10 dicembre 2010 – precedente l’emissione del progetto di decisione del l’11 gennaio 2011 – ha chiesto all’Ufficio AI una copia della perizia SAM, allegando la relativa procura rilasciatagli dall’assicurata (cfr. doc. 99-1). D’altra parte, va segnalato che, con scritto del 14 dicembre 2010, l’amministrazione gli ha risposto che “al momento non è ancora possibile inviarlo”, dato che, a quel momento, la procedura era ancora in corso. L’Ufficio AI ha comunque comunicato allo psichiatra curante che, “di regola, l’assicurato può formulare le proprie osservazioni in merito all’operato dell’assicurazione solo al termine della procedura”, aggiungendo che “le consigliamo pertanto di attendere sino all’emanazione del preavviso di decisione, che decreterà la fine dell’istruttoria. A quel momento disporrà di un incarto completo, che le permetterà di esprimere le sue considerazioni circa la nostra valutazione in piena cognizione di causa” (doc. 102-1). Ora, a prescindere dal fatto che non risulta dalla documentazione agli atti che né il dr. __________, né il rappresentante dell’assicurata, abbiano richiesto copia della perizia citata dopo l’emanazione del progetto di decisione dell’11 gennaio 2011 (doc. 104), né tantomeno, e a maggior ragione, dopo l’emanazione della decisione del 21 febbraio 2011 (doc. 108), l a ricorrente, come correttamente indicato dall’UAI nello scritto del 19 maggio 2011 (cfr. doc. VIII), ha comunque avuto la possibilità di prendere visione della suddetta valutazione bidisciplinare - fondamento della pronunzia impugnata - ed esprimersi in merito innanzi al TCA, autorità giudiziaria che gode del pieno potere cognitivo . L’eventuale violazione del diritto di essere sentita è dunque stata sanata in ogni caso in questa sede (sulla sanatoria della violazione del diritto di essere sentito da parte dell’istanza di ricorso avente pieno potere cognitivo cfr., ad esempio, DTF 132 V 387, consid. 5, pag. 390; STF 9C_961/2009 del 17 gennaio 2011; STF 2C_471/2009 del 23 luglio 2010; STF 9C_617/2008 del 6 agosto 2009 consid. 3.2.3 e STF 9C_127/2007 del 12 febbraio 2008). Nel merito 2.3.   Il TCA è chiamato a stabilire se a ragione oppure no l’Ufficio AI ha respinto la richiesta di prestazioni dell’assicurata.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w:t>
      </w:r>
    </w:p>
    <w:p>
      <w:r>
        <w:rPr>
          <w:b/>
        </w:rPr>
        <w:t>E. 2.3</w:t>
      </w:r>
    </w:p>
    <w:p>
      <w:r>
        <w:t>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della ricorrente è stato accuratamente vagliato dall’amministrazione prima dell’emissione della decisione impugnata, dopo attenta analisi della documentazione medica agli atti, deve concludere che non vi è motivo per distanziarsi dalla valutazione bidisciplinare dei medici del SAM,  da considerare dettagliata, approfondita e quindi rispecchiante i parametri giurisprudenziali sopra ricordati. Nel rapporto peritale del 6 dicembre 2010, i medici del SAM, tenuto conto delle patologie di origine reumatologica attentamente vagliate dal dr. __________ e di quelle di natura psichiatrica, approfondite dal dr. __________, hanno ritenuto l’interessata abile al lavoro al 70% in qualsiasi attività (doc. 98/19-20). Il TCA non ha motivo per distanziarsi da queste conclusioni, che, del resto, non sono state smentite da altre certificazioni medico-specialistiche attestanti delle patologie maggiormente invalidanti.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perizia dei medici del SAM i criteri di affidabilità e completezza richiesti dalla giurisprudenza (cfr. consid. 2.6.), alla stessa può essere fatto riferimento. Inoltre, richiamato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inabile al lavoro al 30% in qualsiasi attività, a partire dal mese di febbraio 2008. 2.8.   Essendo quindi esigibile che l’assicurata sfrutti la sua residua capacità lavorativa del 70% sia nella precedente attività di ausiliaria di pulizia, che in qualsiasi altra attività adeguata,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come correttamente ritenuto dall’UAI, sono determinanti i dati del 2009. 2.9.   Per quanto concerne il reddito da valido , il cui importo non è stato del resto contestato in sede di ricorso, nella decisione impugnata l’amministrazione ha indicato che, senza il danno alla salute, lavorando al 100% come ausiliaria di pulizie, l’interessata avrebbe percepito nel 2009 fr. 44’792.-. Tale ammontare è stato determinato sulla base del reddito statistico risultante dalle tabelle RSS relative al ramo economico  93 (servizi personali), livello di qualifica 4 (cfr. doc. B). Il TCA non ha motivo per discostarsi da tale dato statistico, visto che l’assicurata, prima del danno alla salute, come emerge dal rapporto del consulente IP del 3 gennaio 2011, ha alternato periodi di disoccupazione a periodi di pulizie presso una Casa per anziani (cfr. doc. 103-1). 2.10.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Utilizzando i dati forniti dalla tabella TA1 2008 elaborata dall'Ufficio federale di statistica, la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4'116.--. Riportando questo dato su 41.6 ore ( cfr. tabella B 9.2, pubblicata in La Vie économique, 7/8-2009, p. 90 ), esso ammonta a fr. 4'280.64 mensili oppure a fr. 51'367.68 per l'intero anno (fr. 4'280.64 x 12, ritenuto che la quota di tredicesima è già compresa, cfr. STFA del 18 febbraio 1999 nella causa B., U 274/98, p. 5 consid. 3a). Dopo adeguamento all’indice dei salari nominali, si ottiene, per il 2009 ( cfr. tab. relativa all’e voluzione dei salari nominali pubblicata sul sito dell’Ufficio federale di statistica ), un reddito annuo di fr. 52'446.40. Ritenuto che, come visto in precedenza da un punto di vista medico, l’assicurata può esercitare un’attività adeguata alle sue condizioni di salute al 70%, il reddito statistico va ridotto del 30% ed ammonta quindi a fr. 36’712.50.</w:t>
      </w:r>
    </w:p>
    <w:p>
      <w:r>
        <w:rPr>
          <w:b/>
        </w:rPr>
        <w:t>E. 2.4</w:t>
      </w:r>
    </w:p>
    <w:p>
      <w:r>
        <w:t>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w:t>
      </w:r>
    </w:p>
    <w:p>
      <w:r>
        <w:rPr>
          <w:b/>
        </w:rPr>
        <w:t>E. 2.5</w:t>
      </w:r>
    </w:p>
    <w:p>
      <w:r>
        <w:t>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w:t>
      </w:r>
    </w:p>
    <w:p>
      <w:r>
        <w:rPr>
          <w:b/>
        </w:rPr>
        <w:t>E. 2.5.1</w:t>
      </w:r>
    </w:p>
    <w:p>
      <w:r>
        <w:t>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2.12.   In concreto, nella decisione impugnata, l’amministrazione ha applicato una riduzione del “5% per altri fattori di riduzione” (cfr. doc. B). Nel caso di specie, questo Tribunale non ha motivo per scostarsi dalla riduzione percentuale del 5% applicata dall’amministrazione, rimasta peraltro incontestata. Questa soluzione si giustifica tanto più se si considera che, per costante giurisprudenza il giudice non può scostarsi dalla valutazione dell’amministrazione senza fondati motivi (cfr. DTF 126 V 80 consid. 5b/dd e 6). Procedendo quindi al raffronto dei redditi, con riferimento al 2009, partendo da un salario da invalido di fr . 52'446.40 , ritenuta un’esigibilità dal profilo medico del 70% e ammettendo la riduzione del 5%, il reddito ipotetico dell’insorgente ammonta, quindi, a fr. 34'877.-- (fr. 36'712.5 - (fr. 36'712.5 x 5 : 100)) . Confrontando ora questo dato con l’ammontare del reddito da valido nel medesimo anno di fr. 44’792.-- (consid. 2.9.) emerge un tasso d’invalidità del 22.14% arrotondato al 22% secondo la giurisprudenza di cui alla DTF 130 V 121 consid. 3.2. = SVR 2004 UV Nr. 11 pag. 41), percentuale che non permette la concessione di prestazioni dell’assicurazione invalidità, come correttamente stabilito dall’amministrazione nella decisione impugnata.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r>
        <w:rPr>
          <w:b/>
        </w:rPr>
        <w:t>E. 2.6</w:t>
      </w:r>
    </w:p>
    <w:p>
      <w:r>
        <w:t>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w:t>
      </w:r>
    </w:p>
    <w:p>
      <w:r>
        <w:rPr>
          <w:b/>
        </w:rPr>
        <w:t>E. 2.7</w:t>
      </w:r>
    </w:p>
    <w:p>
      <w:r>
        <w:t>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w:t>
      </w:r>
    </w:p>
    <w:p>
      <w:r>
        <w:rPr>
          <w:b/>
        </w:rPr>
        <w:t>E. 2.11</w:t>
      </w:r>
    </w:p>
    <w:p>
      <w:r>
        <w:t>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w:t>
      </w:r>
    </w:p>
    <w:p>
      <w:r>
        <w:rPr>
          <w:b/>
        </w:rPr>
        <w:t>E. 4</w:t>
      </w:r>
    </w:p>
    <w:p>
      <w:r>
        <w:t>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