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32.2011.103 vom 16. November 2011</w:t>
      </w:r>
    </w:p>
    <w:p>
      <w:r>
        <w:t>TI Tribunale d'appello, 2011-11-16, IT</w:t>
      </w:r>
    </w:p>
    <w:p>
      <w:r>
        <w:rPr>
          <w:b/>
        </w:rPr>
        <w:t xml:space="preserve">Quelle: </w:t>
      </w:r>
      <w:r>
        <w:t>https://mcp.opencaselaw.ch/entscheid/ti_gerichte_32.2011.103</w:t>
      </w:r>
    </w:p>
    <w:p>
      <w:r>
        <w:t>FR: TI_GERICHTE 32.2011.103 du 16 novembre 2011</w:t>
      </w:r>
    </w:p>
    <w:p>
      <w:r>
        <w:t>IT: TI_GERICHTE 32.2011.103 del 16 novembre 2011</w:t>
      </w:r>
    </w:p>
    <w:p>
      <w:pPr>
        <w:pStyle w:val="Heading2"/>
      </w:pPr>
      <w:r>
        <w:t>Regeste</w:t>
      </w:r>
    </w:p>
    <w:p>
      <w:r>
        <w:t>Nuova domanda. Per quanto riguarda la patologia psichiatrica la perizia del SAM necessita di un complemento. Rinvio atti per complemento istruttorio, valutazione globale e resa di un nuovo provvedimeno. Nota d'onorario per ripetibili</w:t>
      </w:r>
    </w:p>
    <w:p>
      <w:pPr>
        <w:pStyle w:val="Heading2"/>
      </w:pPr>
      <w:r>
        <w:t>Erwägungen</w:t>
      </w:r>
    </w:p>
    <w:p>
      <w:r>
        <w:rPr>
          <w:b/>
        </w:rPr>
        <w:t>E. 25</w:t>
      </w:r>
    </w:p>
    <w:p>
      <w:r>
        <w:t>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in una sentenza pubblicata in DTF 136 V 376 il TF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e segg., il TF ha preso posizione sulle critiche alla giurisprudenza federale relativa al valore probatorio delle perizie dei Servizi di accertamento medico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TF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Il TF ha inoltre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8C_426/2011 del 29 settembre 2011, 9C_87/2011 del 1. settembre 2011 e 9C_120/2011 del 25 luglio 2011). Giova qui ricordare che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Va inoltre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2.10.   Nell’evenienza concreta, richiamata la suesposta giurisprudenza in materia di valore probatorio di rapporti medici, questo Tribunale, per quanto riguarda la patologia psichiatrica, non può fare proprie le conclusioni a cui sono giunti i periti del SAM. Infatti, il dr. __________, FMH in psichiatria e psicoterapia, non ha motivato perché egli esclude la diagnosi di sindrome depressiva ricorrente posta dal dr. __________, FMH in psichiatria e psicoterapia, nei certificati medici 22 gennaio e 6 marzo 2007 (doc. AI 50/1-3, 55/2) nonché nel rapporto medico 17 febbraio 2009 (doc. AI 72/1-4). Va qui evidenziato che detta diagnosi è stata confermata anche dai medici specialisti della Clinica __________ di __________ sia nel rapporto d’uscita 13 ottobre 2008 concernente la prima ammissione dal 22 aprile al 7 giugno 2008 che negli ulteriori rapporti d’uscita concernenti le degenze dal 28 aprile al 6 giugno 2009, dal 31 maggio al 10 giugno 2010 e dal 28 aprile al 3 giugno 2011 (doc. AI 76/1-3, B/3 e B/4). Nemmeno il dr. __________ ha evidenziato i criteri in base ai quali i periti del SAM hanno potuto considerare la diagnosi di “(…) Fibromialgia/sindrome somatoforme da dolore persistente (…)” (doc. AI 85/19), quale diagnosi con influsso sulla capacità lavorativa ai sensi della giurisprudenza federale (cfr. consid. 2.4). Al riguardo, anche i medici SMR, nelle annotazioni 22 settembre 2011, hanno concluso che “(…) circa la documentazione prodotta [ndr.: si riferisce ai tre rapporti d’uscita 16 luglio 2009, 29 luglio 2010 e 9 settembre 2011 della Clinica __________ e alla lettera 13 settembre 2011 del dr. __________ indirizzata all’avv. RA 1 sub doc. B/1, B/2, B/3 e B/4] la seconda degenza alla Clinica __________ era nota ai periti SAM che citano il rapporto in perizia. Le successive degenze sono posteriori alla convocazione SAM. L’ultimo ricovero alla Clinica __________ parla di un quadro clinico che si era mantenuto stabile fino ad un mese e mezzo prima, si può quindi ammettere che un eventuale peggioramento sia avvenuto a partire dal ricovero (28.04.2011). E’ da sottolineare che la perizia psichiatrica SAM non si esprime sui criteri Foerster nonostante la presenza di una diagnosi di fibromialgia. Proponiamo quindi una perizia psichiatrica che valuti i criteri di Foerster oltre che prenda posizione circa la diagnosi psichiatrica (agli atti infatti anche i successivi ricoveri psichiatrici pongono la diagnosi di una s. depressiva ricorrente, diagnosi che si discosta da quella posta dal perito SAM Dr. __________ di disturbo da disadattamento sfociato in una sintomatologia depressiva persistente – F34.8) e la conseguente CL. (…)” (XI/bis). Questo Tribunale, ritenuto che – dopo che il dr. __________ l’aveva posta nei certificati medici 22 gennaio e 6 marzo 2007 (doc. AI 50/1-3, 55/2) – la diagnosi di sindrome depressiva ricorrente è stata sempre confermata dai medici della Clinica __________ sin dal primo ricovero dal 22 aprile al 7 giugno 2008 (doc. AI 72/5-7) e, in particolare, anche in occasione della degenza dal 31 maggio al 10 giugno 2010 (doc. B/3) – periodo questo antecedente alla perizia del SAM del 17 novembre 2010 – non può tuttavia escludere con la sufficiente tranquillità che un peggioramento ( come sembrerebbe abbiano invece ritenuto i medici SMR dr. __________ e dr.ssa       __________ nelle annotazioni 22 settembre 2011: “(…) L’ultimo ricovero alla Clinica __________ parla di un quadro clinico che si era mantenuto stabile fino ad un mese e mezzo prima, si può quindi ammettere che un eventuale peggioramento sia avvenuto a partire dal ricovero (28.04.2011). (…)” (XI/1, la sottolineatura è del redattore) ) sia insorto già prima del 28 aprile 2011. Del resto, sempre nelle annotazioni 22 settembre 2011 – avuto riguardo alla diagnosi di fibromialgia, già posta dal dr. __________ nel rapporto d’esame clinico del 16 ottobre 2003 (cfr. doc. AI 19/1-6 e consid. 2.7) e confermata dai periti del SAM – , i medici SMR hanno evidenziato pure che “(…) é da sottolineare che la perizia psichiatrica SAM non si esprime sui criteri Foerster nonostante la presenza di una diagnosi di fibromialgia. (…)” (XI/bis). Di conseguenza – anche alla luce della citata sentenza 9C_243/2010 del 28 giugno 2011 pubblicata in DTF 137 V 210 (nella quale è stato precisato anche in quali casi il Tribunale cantonale può rinviare gli atti all’assicuratore per un complemento istruttorio, cfr. i consid. dal 4.4.1.1 al 4.4.1.4, pag. 263-265) – , nella concreta evenienza, ritenuto come vi siano degli accertamenti peritali svolti dall’amministrazione che necessitano di un complemento ( “(…) Ergänzung von gutachtlichen Ausführungen (…)” DTF 137 V 210, consid. 4.4.1.4, pag. 265), si giustifica il rinvio degli atti all’Ufficio AI perché (come del resto in sostanza auspicato dalla medesima amministrazione nelle osservazioni 23 settembre 2011 sub. XI), metta in atto un approfondimento a livello psichiatrico inteso a delucidare sia l’aspetto diagnostico, sia le eventuali ripercussioni nonché l’evoluzione nel tempo sulla capacità lavorativa dell’assicurata. In particolare, oltre a stabilire l’esistenza o meno dei criteri di Foester, necessari per poter ritenere invalidante la diagnosi posta di “(…) Fibromialgia/sindrome somatoforme da dolore persistente (…)” (doc. AI 85/19) (cfr. consid. 2.5), l’amministrazione dovrà chiarire se e se del caso quando è subentrato un peggioramento della situazione valetudinaria. Quindi, in esito a tale complemento istruttorio, l’Ufficio AI effettuerà una valutazione globale delle patologie di cui soffre l’assicurata, debitamente motivata, e si pronuncerà nuovamente sul diritto alla rendita. 2.11.   Con scritto 10 ottobre 2011 l’assicurata ha chiesto l’assegna-zione di congrue ripetibili allegando la nota d’onorario dell’avv. __________ (XIII e allegato XIII/bis) di complessivi CHF 3'847.10 (CHF 3'240 di onorario, CHF 326.00 di spese e CHF 281.10 di IVA). Dalla nota d’onorario risulta che è stata fatturata l'attività svolta dal 2 dicembre 2010 (apertura incarto) al 10 ottobre 2011 (data della lettera con la quale è stata comunicata al TCA l’adesione alla proposta di rinvio formulata dall’Ufficio AI e richiesta l’assegnazione di ripetibili). La decisione impugnata è datata 1. marzo 2011. Secondo la giurisprudenza l'attività svolta prima dell'inoltro di una causa non entra in linea di conto per la fissazione delle ripetibili (RAMI 1997 KV 15, pag. 321; DTF 114 V 228, consid. 3b e riferimenti), con la precisazione, tuttavia, che nella commisurazione della nota professionale entrano in considerazione i lavori preparatori necessari per la stesura del ricorso. Non è, invece, compresa l'attività svolta dal patrocinatore prima dell'emissione della decisione impugnata, visto che il TFA, già prima dell'entrata in vigore della LPGA, ha riconosciuto, a determinate condizioni, l'assistenza giudiziaria nella procedura amministrativa (DTF 125 V 32; DTF 117 V 408; SVR 2000 IV Nr. 18 pag. 55 = Pratique VSI 2000 pag. 164). Dal 1° gennaio 2003 l'art. 37 cpv. 4 LPGA prevede poi che nella procedura con l'assicuratore, se le circostanze lo esigono, il richiedente può beneficiare del patrocinio gratuito. La nota d’onorario (per il lavoro svolto dall’avv. RA 1 nel periodo che, per le ragioni sopra evidenziate, può qui essere considerato e, meglio, dal 3 marzo al 10 ottobre 2011) di complessivi CHF 1'614.10 (CHF 1'305.00 di onorario, CHF 189.50 di spese e CHF 119.60 di IVA) è suscettibile, alla luce della normativa (art. 61 cpv. 1 lett. g LPGA, art. 30 Lptca e il regolamento sulla tariffa per i casi di patrocinio d’ufficio e di assistenza giudiziaria e per la fissazione delle ripetibili [RL 3.1.1.7.1]) e della giurisprudenza (STF 8C_723/2009 del 14 gennaio 2010), di essere riconosciuta. La domanda di assistenza giudiziaria per la procedura ricorsuale diventa pertanto priva di oggetto (DTF 124 V 309, consid. 6 e, tra le tante, STF 9C_206/2011 del 16 agosto 2011 consid. 5).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