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 vom 24. November 2010</w:t>
      </w:r>
    </w:p>
    <w:p>
      <w:r>
        <w:t>TI Tribunale d'appello, 2010-11-24, IT</w:t>
      </w:r>
    </w:p>
    <w:p>
      <w:r>
        <w:rPr>
          <w:b/>
        </w:rPr>
        <w:t xml:space="preserve">Quelle: </w:t>
      </w:r>
      <w:r>
        <w:t>https://mcp.opencaselaw.ch/entscheid/ti_gerichte_32.2011.1</w:t>
      </w:r>
    </w:p>
    <w:p>
      <w:r>
        <w:t>FR: TI_GERICHTE 32.2011.1 du 24 novembre 2010</w:t>
      </w:r>
    </w:p>
    <w:p>
      <w:r>
        <w:t>IT: TI_GERICHTE 32.2011.1 del 24 novembre 2010</w:t>
      </w:r>
    </w:p>
    <w:p>
      <w:pPr>
        <w:pStyle w:val="Heading2"/>
      </w:pPr>
      <w:r>
        <w:t>Regeste</w:t>
      </w:r>
    </w:p>
    <w:p>
      <w:r>
        <w:t>Decisione con la quale UAI ha attribuito all'assicurata una rendita intera limitata nel tempo,poi soppressa in difetto di un grado di invalidità pensionabile,non può essere confermata dal TCA,in mancanza di sufficienti elementi dal profilo psichiatrico,come ammesso dalla stessa amm.Rinvio atti</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In particolare l'Alta Corte ha sviluppato le seguenti considerazioni: " 7.3 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 7.3.1 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G BGE 134 V 9 S. 13 esag ten auszugehen, wenn sie durch die - auf Grund der gesamten Umstände zumutbare - Wahl einer anderen Erwerbstätigkeit ausgeschlossen werden kann. 7.3.2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 7.3.3 Im hier massgeblichen Kontext beachtliche gesundheitliche Auswirkungen vom Erwerbs- in den Haushaltsbereich können nur angenommen werden, wenn die verbleibende Arbeitsfähigkeit im erwerblichen Tätigkeitsgebiet voll ausgenützt wird, d.h. der-für den Gesundheitsfall geltende-Erwerbsanteil die Arbeitsfähigkeit im Erwerbsbereich übersteigt oder mit dieser identisch ist. 7.3.4 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(DTF 134 V 12-14) Al riguardo il giudice federale S. Leuzinger-Naef nello studio "Die familienbezogene Rechtsprechung der sozialrechtlichen Abteilung des Bundesgerichts im Jahre 2007" in FamPra.ch 1/2009 pag. 112 seg. si é così espressa :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2.8.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2.9.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I 384/06 del 4 luglio 2007). 2.10. Nella decisione del 24 novembre 2010, l’Ufficio AI ha attribuito all’assicurata una rendita intera di invalidità (grado AI 100%) dal 1° febbraio 2009 al 31 luglio 2009, sopprimendola poi a partire dal 1° agosto 2009, ritenuto il miglioramento dello stato di salute dell’interessata, la quale, a partire dal mese di aprile 2009, presenta una capacità lavorativa del 100%. Il TCA è, quindi, ora chiamato a valutare, alla luce di quanto esposto ai considerandi 2.6., 2.7. e 2.8., se l’UAI ha correttamente o meno soppresso la rendita spettante a RI 1 a fare tempo dal 1° agosto 2009. 2.11.   Nel caso in esame, l’UAI ha fondato, dal profilo medico, la propria decisione di attribuire all’assicurata una rendita intera di invalidità dal 1° febbraio 2009 al 31 luglio 2009, sopprimendola poi a partire dal 1° agosto 2009, sulla valutazione medica effettuata in data 29 dicembre 2008 dal dr. __________, spec. FMH in reumatologia, per conto dell’assicuratore malattia e su quella svolta in data 23 gennaio 2009 dal dr. __________, spec. FMH in psichiatria e psicoterapia, sempre per conto dell’assicuratore malattia. Nel rapporto peritale del 29 dicembre 2008, il dr. __________ ha posto le diagnosi di “1. periartropatia omeroscapolare a sinistra in esiti da tumorectomia, asportazione di linfonodi sentinella al seno sinistro il 13.3.2008; radioterapia adiuvante fino al 25.6.2008; 2. poliartrosi delle dita (diagnosi clinica); 3. sindrome toracolombovertebrale parzialmente spondilogena cronica in tendenza fibromialgica; decondizionamento muscolare; disturbi statici del rachide (appiattimento della dorsale, iperlordosi lombare, scoliosi sinistroconvessa lombare)” (doc. 38-2 inc. cassa malati). Quanto alla capacità lavorativa dell’assicurata nella sua precedente attività, il dr. __________ ha rilevato quanto segue: " L’assicurata da 4-5 anni, su 42 ore settimanali di lavoro, è attiva con un grado di occupazione del 40%, da ultimo, in qualità di ausiliaria di pulizie, impiego svolto durante due giorni alla settimana, comprendente, stando al rapporto del medico curante del 22.10.2008, lavori con il mocio, lavori di pulizia finestre e tapparelle. A seguito dei limiti funzionali e di carico sopraindicati, il mansionario lavorativo descritto dal medico curante non permette un’attività lavorativa con un rendimento massimo, qualora questa venga svolta senza pause, per cui è giustificata una riduzione del rendimento del 40% durante i due giorni lavorativi espletati dall’assicurata; dal lato medico teorico, ripartendo le circa 17 ore lavorative settimanali sui 5 giorni lavorativi settimanali usuali, l’assicurata sarebbe in grado di raggiungere un rendimento lavorativo anche totale, visti gli intervalli di pausa che si verrebbero a creare tra i vari blocchi lavorativi, al più tardi a decorrere dall’1.10.2008.” (Doc. 38-10 inc. cassa malati) In altre attività lavorative, rispettose delle sue limitazioni funzionali, il dr. __________ ha considerato l’assicurata abile al lavoro al 100%, con un rendimento massimo del 100%, a decorrere dal 1° ottobre 2008 (doc. 38-11 inc. cassa malati). L’aspetto psichiatrico è invece stato valutato dal dr. __________, il quale, nel rapporto peritale del 26 gennaio 2009, poste le diagnosi di “disturbo dell’adattamento con reazione mista ansioso-depressiva di lieve entità nel contesto di preoccupazioni familiari e in ambito lavorativo; tendenza alla somatizzazione” (doc. 40-6 inc. cassa malati), ha ritenuto “ragionevolmente proponibile ed esigibile la ripresa completa di un’attività confacente come quella precedentemente svolta, a partire dal 1° aprile 2009” (doc. 40-8 inc. cassa malati). Nel rapporto medico del 26 marzo 2009, il dr. __________ del SMR, spec. FMH in medicina interna (sul diritto per gli assicurati di conoscere la specializzazione dei medici del SMR, cfr. SVR 2008 IV Nr. 13), ha osservato: " destrimane aiuto cucina con mansioni anche di pulizia 40% / casalinga 60% valutazione fiduciaria dr. __________ reumatologo per __________ 29.12.2008 ben redatta indica limitazioni funzionali ed esigibilità lavorative residuali ancora mantenute valutazione psichiatrica dr. __________ per A__________ 26.01.2009 permette di considerare abile l’assicurata dal 1.4.2009.” (Doc. 32-2) A seguito delle osservazioni presentate dall’assicurata in sede di osservazioni, nelle annotazioni mediche del 25 marzo 2010 il dr. __________ ha indicato: " Osservazioni al progetto di decisione A complemento del mio rapporto medico del 26.3.2010 e Alla luce della nuova certificazione psichiatrica della dr.ssa __________ medico curante dell’assicurata del 23.4.2009 in dossier ricevuta il 20.10.2009 che riteneva l’assicurata abile in altri posti di lavoro Si giustifica una piena IL dal 2.2008 al 23.4.2009 per ogni tipo di attività mentre successivamente, a partire da tale data, IL 0% specialmente per attività ergonomicamente adeguate.” (Doc. 58-1) 2.12.   In corso di causa, l’assicurata ha contestato le conclusioni dell’amministrazione, producendo una perizia di parte redatta dal dr. __________, spec. FMH in psichiatria e psicoterapia. Nel referto peritale dell’11 aprile 2011, il dr. __________ ha posto le diagnosi di “sindrome depressiva ricorrente, attuale episodio di gravità media con sindrome biologica (ICD10-F33.11); periartropatia omeroscapolare a sinistra; stato post-tumorectomia e asportazione di linfonodi sentinella; sindrome toracolombovertebrale spondilogena cronica; disturbi statici del rachide (appiattimento della dorsale, iperlordosi lombare, scoliosi sin.convessa)” (doc. XII/bis pag. 6). Il dr. __________ ha ritenuto la valutazione peritale eseguita dal dr. __________ per conto dell’assicuratore malattia “superficiale”, rilevando che “dal punto di vista puramente psichiatrico, la peritanda è stata inabile nella misura completa fino al 2008 e la sua depressione, all’epoca reattiva, gradualmente si è trasformata in una patologia cronica con dei criteri ben precisi che essa presenta tuttora: umore depressivo, perdita d’interesse e di piacere per le attività normalmente piacevoli, diminuzione dello slancio vitale, perdita di sicurezza e di autostima, diminuzione della memoria recente e concentrazione, importanti disturbi del sonno, rallentamento psicomotorio con tendenza all’isolamento”. Quanto alla capacità lavorativa, il dr. __________ ha considerato l’assicurata inabile al lavoro al 50% in qualsiasi attività a partire dal mese di aprile 2009 e inabile al lavoro al 50% anche come casalinga (doc. XII/bis pag. 7). L’assicurata ha pure trasmesso al TCA i seguenti referti medici del dr. __________, spec. FMH in medicina interna e medicina manuale: - referto del 10 maggio 2011, indirizzato al patrocinatore dell’assicurata, del seguente tenore: " (…) Risposte alle sue domande del rapporto medico del 12.04.2011 1. Con riferimento alla problematica che ci occupa, quali sono i disturbi attualmente lamentati dall’assicurata dal punto di vista fisico? Reperto oggettivo e soggettivo. Reperto oggettivo e soggettivo vedi sopra. La paziente attualmente ha una limitazione per la funzione e l’elevazione dell’arto superiore sinistro (come da referto sopramenzionato), lamenta limitazioni soprattutto se è sotto sforzo. A parte ciò vi è la nota scoliosi con spinaggio muscolare, affaticamento leggermente superiore di quanto riscontrato due anni fa. Inoltre vi è il sospetto per una leggera meniscopatia con artrosi a sinistra (referto solo clinico), attualmente è in atto fisioterapia che è stata iniziata sia per la problematica della spalla, sia per la schiena e per il ginocchio. 2. diagnosi 1. periartropatia omeroscapolare sin con: 1.1. esiti da tumorectomia e asportazione del linfonodo sentinella 1.2. radioterapia 2008 1.3. abduzione limitata con leggera atrofia muscolare sinistra 2. sospetta meniscopatia mediale al ginocchio sinistro 3. leggera scoliosi sinistra convessa con disturbi di: 3.1. sbilancio muscolare 4. sindrome ansioso depressiva reattiva con insonnia, ritiro  sociale, aggravato da quando ho visto l’ultima volta la paziente 5. carcinoma lobulare invasivo all’incrocio dei quadranti superiori della mammella sinistra, stadio pT2 pN0 (sn) (0/2)M0, B.R.E2 (diagnosi 13.03.2008) ER 100%, PR 100%, Ki 67 5%, c-erbB2 score 0 3. Dica qual è stata l’evoluzione della capacità lavorativa dell’assicurata (dal punto di vista fisico) nell’ambito della sua precedente attività lavorativa o nell’ambito di eventuali altre attività confacenti ed in ambito casalingo? Per quanto concerne la capacità lavorativa la sola valutazione fisica è difficile per questa paziente che presenta un’importante somatizzazione. Quello che come medico curante ho visto è soprattutto anche un peggioramento della situazione psichica, con aumento della depressione, crisi di pianto, ritiro sociale e con attriti importanti con il marito. Questo naturalmente influisce indirettamente sullo stato fisico e quindi psicologicamente peggiora la situazione fisica. 4. È d’accordo con la valutazione del dr. __________ dell’8 gennaio 2009? In caso negativo, per quali motivi? Per quanto concerne la valutazione del dr. med. __________ si tratta di una perizia reumatologica effettuata il 29.12.2008 completa per quanto concerne sia il riassunto degli atti, i referti e le diagnosi. Si tratta però di una perizia solo reumatologica, senza prendere in considerazione l’effetto di somatizzazione che non è indifferente in questa paziente. 5. Dica se ha ulteriori osservazioni da aggiungere? Ritengo che nell’ambito del modello medico bio psicosociale, le 3 componenti sociali, psichiche, fisiche e sociali devono essere prese in considerazione per una valutazione completa. In questo caso è soprattutto l’interazione sociale e psichica che peggiora direttamente il lato fisico.” (Doc. C1) - referto del 13 maggio 2011, indirizzato al legale dell’assicurata, del seguente tenore: " La ringrazio per la sua lettera del 12.05.2011 nella quale mi chiede maggiori informazioni inerenti la domanda n. 3. Attualmente la paziente soffre di depressione di leggera entità F32.1, è comunque in grado di svolgere le attività casalinghe, probabilmente è limitata per le attività lavorative in un ambito professionale. Vista la problematica sia fisica che psichiatrica in concomitanza con una somatizzazione di componente psichica non indifferente, mi è difficile valutare la situazione in percentuale essendo un medico internista e non uno psichiatra.” (Doc. C2) Nelle annotazioni mediche del 1° giugno 2011, il dr. __________ del SMR, spec. FMH in medicina generale e la dr.ssa __________, psichiatra del SMR, hanno osservato: " Assicurata nata nel 1949, aiuto cucina al 40% IL dal 2.2008 Diagnosi:   Periartropatia omero scapolare a sinistra Stato dopo operazione e RT per ca seno sinistro T2N0M0 Poliartrosi delle dita Sindrome toracolombare spondilogena cronica Disturbo dell’adattamento con reazione mista ansioso depressiva di lieve entità assicurata valutata a livello peritale dal dr. __________ 29.12.2008 o attività abituale esigibile con rendimento ridotto del 40% o lavoro adatto esigibile al 100% o quale casalinga rendimento ridotto del 20% limiti funzionali: l’assicurata può molto spesso sollevare e portare pesi fino a 5 kg fino all’altezza dei fianchi, spesso tra 5-10 kg fino all’altezza dei fianchi, di rado tra 10-25 kg fino all’altezza dei fianchi, mai pesi oltre 25 kg fino all’altezza dei fianchi; l’assicurata può molto spesso sollevare pesi fino a 5 kg sopra l’altezza del petto, talvolta pesi oltrepassanti i 5 kg sopra l’altezza del petto. L’assicurata può spesso maneggiare attrezzi di precisione, molto spesso maneggiare attrezzi di media entità, talvolta attrezzi pesanti, talvolta maneggiare attrezzi molto pesanti. La rotazione manuale è normale. L’assicurata può talvolta effettuare lavori al di sopra della testa, spesso effettuare la rotazione del tronco, molto spesso assumere la posizione seduta ed inclinata in avanti, spesso la posizione in piedi ed inclinata in avanti, spesso assumere la posizione inginocchiata, molto spesso effettuare la flessione delle ginocchia. L’assicurata può assumere spesso la posizione seduta di lunga durata, spesso la posizione in piedi di lunga durata. L’assicurata può molto spesso camminare fino a 50 metri, spesso oltre i 50 metri, spesso camminare per lunghi tragitti, come pure molto spesso camminare su terreno accidentato, può molto spesso salire le scale, mai salire su scale a pioli. Dr. __________ il 26.01.2009 o natura eminentemente reattiva dell’attuale disagio psicofisico o entità lieve-media dell’attuale quadro ansioso-depressivo o diagnosi: § disturbo dell’adattamento con reazione mista ansioso-depressiva di lieve entità nel contesto di preoccupazioni familiare e in ambito lavorativo § tendenza alla somatizzazione inchiesta casalinghe del 21.9.2009: impedimenti dell’11.5% decisione UAI 24.11.2010: rendita limitata nel tempo da 1.2.2009 fino a 31.7.2009 nuova documentazione presentata rapporto dr. __________ del 11.4.2011: pone le diagnosi di: o sindrome depressiva ricorrente, attuale episodio di gravità media con sindrome biologica F33.11 o egli ritiene un CL del 50% in pratica da 1.4.2009 (prima IL completa) rapporto dr. __________ del 10.5.2011: diagnosi di: o periartropatia omero scapolare sinistra o sospetta meniscopatia mediale al ginocchio sinistro o leggera scoliosi sinistra convessa con sbilancio muscolare o sindrome ansioso-depressiva o carcinoma seno sinistro, diagnosi 2008 nel presente caso è soprattutto l’interazione sociale e psichica a peggiorare indirettamente il lato fisico rapporto dr. __________ del 13.5.2011: o pone la diagnosi di episodio depressivo di media gravità F32.1 o assicurata è in grado di svolgere le attività casalinghe o probabilmente è limitata in un ambito professionale o problematica fisica e psichiatrica con somatizzazione valutazione: - siamo a distanza di ben due anni dalla valutazione psichiatrica del dr. __________ In considerazione dell’attuale certificazione del dr. __________ è possibile un peggioramento della problematica psichiatrica. S’impone quindi una rivalutazione psichiatrica tramite centro peritale, valutazione che dovrà in particolare anche comprendere una valutazione dei criteri di Förster in presenza di una problematica di somatizzazione. - Per quanto concerne invece il lato somatico, non risulta dall’attuale documentazione una modifica sostanziale rispetto alla valutazione del dr. __________, valutazione che rimane quindi tuttora valida.” (Doc. XVIII/bis) A fronte delle critiche del patrocinatore dell’assicurata, a mente del quale l’interessata deve essere rivalutata non solo dal profilo psichiatrico, come proposto dal SMR, ma anche dal punto di vista somatico, nelle annotazioni del 5 luglio 2011, il dr. __________ del SMR ha osservato: " La lettura dell’incarto non permette di discostarsi da quanto già riportato dalla collega __________i e dal collega __________a. 1. dal lato somatico non vi è alcun documento che faccia supporre un’evoluzione delle patologie riferite nei documenti AI e in quelli dell’assicuratore Ig. A parte l’accenno a sospetto di meniscopatia (nozione molto recente). Da quanto riferito nel rapporto del dr. __________, fiduciario di assicurazione, non ci è permesso seguire la suggestione che si dovrebbe tenere conto delle tre componenti del modello bio-psico-sociale. 2. dal lato psichiatrico, malgrado i commenti del dr. __________ sulla coscienziosità di psichiatri curanti e fiduciari, ma senza ulteriore commento alle componenti cliniche attestate dagli stessi, si può ammettere un’evoluzione verso maggiore severità del quadro clinico. Dalla relazione del dr. __________ emergono degli elementi di disagio sociale che dovrebbero essere meglio esaminati e una conclusione sulla poca umanità per proposte d’integrazione. L’evoluzione, anche secondo il mio parere di non specialista, è meritevole di riesame. Emerge pure che il soggetto è in cura dallo psichiatra dr. __________, ma non vi è traccia di etero-anamnesi, quindi di richiesta di informazioni al curante, che dovrebbero essere di interesse.” (Doc. XXIV/bis) 2.13.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2.14.   Nella presente fattispecie, al fine di stabilire il grado d’invalidità, l’Ufficio AI, applicando il metodo misto, ha valutato al 40% la parte dedicata all’attività salariata e al 60% la quota dedicata alle mansioni domestiche. Tale suddivisione deve essere confermata. La stessa si fonda sulle dichiarazioni fornite dallo stesso datore di lavoro dell’assicurata nel questionario per il datore di lavoro del 6 ottobre 2008, nel quale ha indicato che l’interessata lavorava al 40%, effettuando 16.48 ore alla settimana rispetto alle 42 ore settimanali previste normalmente nell’azienda (cfr. doc. 11-3). L’assicurata, del resto, ha confermato la correttezza delle indicazioni del datore di lavoro in occasione dell’inchiesta economica per le persone che si occupano dell’economia domestica del 21 settembre 2009 (cfr. doc. 41-2). 2.15. Questo Tribunale, chiamato a verificare se lo stato di salute della ricorrente è stato accuratamente vagliato dall’amministrazione prima dell’emissione della decisione impugnata, dopo attenta analisi della documentazione medica agli atti, non può confermare l’operato dell’amministrazione, in quanto la problematica psichiatrica non è stata chiarita in modo soddisfacente. Il TCA non può, infatti,  considerare corretta la valutazione medica fornita dal dr. __________ del SMR nelle sue annotazioni del 26 marzo 2009 e del 25 marzo 2010 - riprendendo quanto apprezzato in sede peritale dal dr. __________ e dal dr. __________ per conto dell’assicuratore malattia - alla luce dell’ulteriore documentazione medica prodotta dall’assicurata. Ciò è stato peraltro correttamente riconosciuto dall’UAI nelle osservazioni del 7 giugno 2011. Il TCA non ha motivo di distanziarsi dall’ approfondita valutazione peritale del dr. __________ per quanto concerne gli aspetti somatici – che, del resto, non sono stati contestati dall’assicurata tramite dei referti medico specialistici attestanti un peggioramento delle patologie di origine fisica, come ben illustrato dal dr. __________ e dalla dr.ssa __________ nelle annotazioni del 1° giugno 2011 (doc. XVIII/bis) e dal dr. __________ in quelle del 5 luglio 2011 (doc. XXIV/bis). Le conclusioni del perito possono essere fatte proprie dal TCA tanto più che esse nemmeno sono state messe in discussione dal dr. __________ (cfr. doc. C1, riprodotto al considerando 2.12., nel quale il medico ha indicato che: “per quanto concerne la valutazione del dr. med. B. __________, si tratta di una perizia reumatologica (…) completa per quanto concerne sia il riassunto degli atti, i referti e le diagnosi”). Questo Tribunale non concorda invece con quanto stabilito dall’amministrazione nella decisione impugnata a proposito all’apprezzamento delle patologie psichiatriche e all’influsso che le stesse hanno sulla capacità lavorativa residua dell’assicurata. Come correttamente rilevato dal dr. __________ e dalla dr.ssa __________ del SMR nelle annotazioni del 1° giugno 2011 (doc. XVIII/bis), dalla refertazione medica specialistica del dr. __________ prodotta dall’assicurata in corso di causa “è possibile un peggioramento della problematica psichiatrica. S’impone quindi una rivalutazione psichiatrica tramite centro peritale, valutazione che dovrà in particolare anche comprendere una valutazione dei criteri di Förster in presenza di una problematica di somatizzazione” (doc. XVIII/bis). Il TCA non può che fare proprie queste considerazioni dei medici del SMR. 2.16.   Nella già citata sentenza 9C_243/2010 del 28 giugno 2011 (cfr. consid. 2.13.)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Nella concreta evenienza, ritenuto come vi siano degli accertamenti peritali svolti dall’amministrazione che necessitano un complemento (“ Ergänzung von gutachtlichen Ausführungen ”) , si giustifica il rinvio degli atti all’UAI ai sensi della giurisprudenza citata, come peraltro correttamente proposto dall’amministrazione stessa nelle osservazioni del 7 giugno 2011 (doc. XVIII) e del 12 luglio 2011 (doc. XXIV). La decisione impugnata va quindi annullata e l'incarto retrocesso all'Ufficio AI, affinché metta in atto un approfondimento a livello psichiatrico, da parte del Centro peritale per le assicurazioni sociali, inteso a delucidare sia l’aspetto diagnostico, sia le eventuali ripercussioni sulla capacità lavorativa dell’assicurata. Quindi, in esito a tale complemento istruttorio, l’amministrazione effettuerà una valutazione globale delle patologie di cui soffre l’assicurata, debitamente motivata, e si pronuncerà nuovamente sul diritto alla rendita. 2.17. V isto l'esito favorevole del ricorso, l'assicurata, patrocinata da un legale, ha diritto al versamento da parte dell’Ufficio AI di un importo di fr. 1’800.-- a titolo di ripetibili. 2.18.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