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32.2010.78 vom 19. Februar 2010</w:t>
      </w:r>
    </w:p>
    <w:p>
      <w:r>
        <w:t>TI Tribunale d'appello, 2010-02-19, IT</w:t>
      </w:r>
    </w:p>
    <w:p>
      <w:r>
        <w:rPr>
          <w:b/>
        </w:rPr>
        <w:t xml:space="preserve">Quelle: </w:t>
      </w:r>
      <w:r>
        <w:t>https://mcp.opencaselaw.ch/entscheid/ti_gerichte_32.2010.78</w:t>
      </w:r>
    </w:p>
    <w:p>
      <w:r>
        <w:t>FR: TI_GERICHTE 32.2010.78 du 19 février 2010</w:t>
      </w:r>
    </w:p>
    <w:p>
      <w:r>
        <w:t>IT: TI_GERICHTE 32.2010.78 del 19 febbraio 2010</w:t>
      </w:r>
    </w:p>
    <w:p>
      <w:pPr>
        <w:pStyle w:val="Heading2"/>
      </w:pPr>
      <w:r>
        <w:t>Regeste</w:t>
      </w:r>
    </w:p>
    <w:p>
      <w:r>
        <w:t>Indipendente. Metodo straordinario. L'UAI ha respinto la richiesta di prestazioni dell'assicurato non essendo il grado d'invalidità pensionabile (35%). Contestata, a torto, la ripartizione delle mansioni dell'A. in seno all'azienda: 70% pizzaiolo e 30% direzione</w:t>
      </w:r>
    </w:p>
    <w:p>
      <w:pPr>
        <w:pStyle w:val="Heading2"/>
      </w:pPr>
      <w:r>
        <w:t>Erwägungen</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2.12.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