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32.2010.69 vom 18. Februar 2010</w:t>
      </w:r>
    </w:p>
    <w:p>
      <w:r>
        <w:t>TI Tribunale d'appello, 2010-02-18, IT</w:t>
      </w:r>
    </w:p>
    <w:p>
      <w:r>
        <w:rPr>
          <w:b/>
        </w:rPr>
        <w:t xml:space="preserve">Quelle: </w:t>
      </w:r>
      <w:r>
        <w:t>https://mcp.opencaselaw.ch/entscheid/ti_gerichte_32.2010.69</w:t>
      </w:r>
    </w:p>
    <w:p>
      <w:r>
        <w:t>FR: TI_GERICHTE 32.2010.69 du 18 février 2010</w:t>
      </w:r>
    </w:p>
    <w:p>
      <w:r>
        <w:t>IT: TI_GERICHTE 32.2010.69 del 18 febbraio 2010</w:t>
      </w:r>
    </w:p>
    <w:p>
      <w:pPr>
        <w:pStyle w:val="Heading2"/>
      </w:pPr>
      <w:r>
        <w:t>Regeste</w:t>
      </w:r>
    </w:p>
    <w:p>
      <w:r>
        <w:t>Riduzione del grado d'invalidità da intero ad un quarto confermata dopo esame degli atti medici</w:t>
      </w:r>
    </w:p>
    <w:p>
      <w:pPr>
        <w:pStyle w:val="Heading2"/>
      </w:pPr>
      <w:r>
        <w:t>Erwägungen</w:t>
      </w:r>
    </w:p>
    <w:p>
      <w:r>
        <w:rPr>
          <w:b/>
        </w:rPr>
        <w:t>E. 1</w:t>
      </w:r>
    </w:p>
    <w:p>
      <w:r>
        <w:t>non è ancora da considerare stazionaria, in quanto è previsto un ulteriore intervento chirurgico verosimilmente nel autunno 2003. Sarà pertanto effettuata una revisione del caso a breve termine, non appena si sarà stabilizzata la situazione ” (doc. AI 42-1, sottolineatura del redattore). Del resto la stessa insorgente il 25 maggio 2010 ha affermato che “ la richiesta della ricorrente quale formulata nell’istanza di ricorso del 16 marzo 2010 va pertanto modificata nel senso che a essa è riconosciuto il diritto a una mezza-rendita a decorrere da aprile 2010 ” (doc. VIII). Ne segue che a giusta ragione l’UAI, accertato un miglioramento globale dello stato valetudinario della ricorrente, ha proceduto alla revisione della rendita. La documentazione prodotta pendente causa dall’insorgente non è atta a sovvertire le conclusioni peritali. Con il certificato dell’11 maggio 2010 il dr. med. __________, specialista FMH angiologia, flebologo, ribadisce infatti la sua precedente valutazione di un’incapacità lavorativa almeno del 50%, già presa in considerazione dai periti dell’UAI (doc. C2 e doc. AI 112-2). Allo stesso modo il rapporto della visita presso la Clinica __________ di __________ del 25 ottobre 2010, come accertato dal medico SMR, dr. med. __________, riporta una diagnosi ortopedica già nota da cui non emergono nuovi elementi clinici di rilievo e dal quale non risulta una modifica dei disturbi rispetto alla valutazione SAM (cfr. doc. XVIII/Bis). Per cui l’indicazione di una totale incapacità lavorativa nella precedente attività degli specialisti __________ altro non è se non una diversa valutazione del medesimo stato valetudinario. Infine l’insorgente ha prodotto un certificato della dr.ssa med. __________ del 3 maggio 2010 la quale, pur concordando “ in linea di massima con le osservazioni ” peritali in ambito psichiatrico ha tuttavia accertato che “ la paziente presenta, a mio avviso, anche uno stato ansioso-depressivo in misura consona alla situazione che sta vivendo ” ed ha valutato l’insorgente “ inabile nella sua professione nella misura del 50% ” (doc. C1). La curante (cfr., per quanto concerne il valore probatorio delle valutazioni dei medici curanti, consid. 6: il giudice deve tenere conto del fatto che, alla luce del rapporto di fiducia esistente con il paziente, il medico curante attesterà, in caso di dubbio, in favore del suo paziente; cfr. DTF 125 V 353), che non ha posto una diagnosi secondo una classificazione riconosciuta (ha infatti affermato che vi è pure uno stato “ ansioso depressivo”, doc. C1), non si è espressa sulla capacità lavorativa in attività adeguata, ma ha affermato che l’interessata è inabile al 50% nella sua precedente attività senza tuttavia specificare in quale modo il quadro clinico limita la capacità lavorativa. La specialista ha evidenziato come l’insorgente “ si presenta curata nel proprio aspetto, collaborante e disponibile al colloquio ” e “ orientata nei tre domini non presenta alterazioni della memoria (sia a breve che a lungo termine) ”. Inoltre la curante parla di “ lieve diminuzione dell’attenzione e della concentrazione ” e ” lieve pessimismo verso il futuro ” e non ha ritenuto necessario la prescrizione di antidepressivi (“ ancora da valutare eventualmente anche l’introduzione di un antidepressivo al fine di migliorare soprattutto gli aspetti ansiosi ”). Va qui rilevato che con sentenza 9C_294/2008 del 19 marzo 2009 il Tribunale federale ha affermato: " (…) 4.2 In 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 danno di lieve entità. 4.3 Secondo il sistema di classificazione ICD-10 convenzionalmente utilizzato, la distimia configura una depressione cronica dell’umore che non è sufficientemente grave o nella quale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2008/IV no. 8 pag. 23, consid. 3.3.1 [I 649/06]).” Inoltre la dr.ssa med. __________ ha affermato di seguire l’insorgente dal “ 14.4.2010 (data del primo colloquio) su segnalazione del medico curante Dr. med. __________ di __________ ” e che lo stato ansioso-depressivo ” è peggiorato di recente ” ciò che “ ha quindi indotto il curante ad indirizzarla alla sottoscritta ” (doc. C1, sottolineature del redattore). Come rilevano la dr.ssa med. __________, SMR, specialista in psichiatria, e il dr. med. __________, SMR, “ l’eventuale peggioramento del quadro clinico è eventualmente avvenuto da nemmeno due mesi e quindi è posteriore alla decisione UAI ” (doc. X/Bis). La valutazione dei medici SMR, trasmessa l’11 giugno 2010 alla ricorrente per conoscenza, non è stata contestata. Ora, va rammentato che secondo costante giurisprudenza del TF, l'autorità giudicante deve limitare l'esame del caso alla situazione effettiva che si presenta all'epoca in cui è stata resa la decisione impugnata (in concreto il 18 febbraio 2010),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Nella misura in cui ci dovesse essere stato un peggioramento dello stato di salute (psichico) successivo all’emanazione della decisione impugnata, esso dovrà semmai essere l’oggetto di una nuova domanda. Va qui ribadito che queste conclusioni sono state confermate anche dal medico SMR, dr. med. __________ e dalla dr.ssa __________, pure medico SMR e specialista in psichiatria. Va qui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ancora di recente,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La circostanza che anche il medico curante è uno specialista va relativizzata nel senso che in ragione della diversità dell’incarico assunto (a scopo di trattamento anziché di perizia) in caso di lite non ci si può di regola fondare sulla posizione del medico curante, anche se specialista (cfr. sentenza 9C_38/2008 del 15 gennaio 2009, cfr. anche sentenze 9C_607/2007 dell’11 aprile 2008, consid. 5.3, 9C_114/2007 del 20 luglio 2007, consid. 3.2.3 in fine, e I 701/05 del 5 gennaio 2007, consid. 2). Va ancora evidenziato che per il nuovo art. 59 cpv. 2bis LAI, in vigore dal 1° gennaio 2008 e applicabile in concreto,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Visto quanto sopra, sulla base delle affidabili e concludenti valutazioni del medico SMR, dr. med. __________ (cfr. più in generale sul valore probatorio dei rapporti interni del SMR la sentenza I 143/07 del 14 settembre 2007, consid. 3.3; cfr. pure la sentenza 9C_376/2007 del 13 giugno 2008), a giusta ragione, l’UAI ha concluso che da giugno 2008 l’interessata è abile al lavoro al 60% (inteso come rendimento ridotto sull’arco di un’intera giornata). 2.7.   In concreto, ritenuto che l’incapacità lavorativa della ricorrente nella sua precedente attività lucrativa di laboratorista chimica è del 40%, intesa come riduzione del tempo di lavoro, può esserle assegnata al massimo ¼ di rendita. Infatti,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tutto quanto esposto, visto che l'assicurata presentava dal giugno 2008, secondo la perizia pluridisciplinare del SAM, una capacità al lavoro nella misura del 60 % nella sua precedente occupazione, la ricorrente, per ridurre il danno, doveva continuare a mettere a frutto questa sua capacità nella sua precedente professione di laboratorista chimica. In questo caso è quindi indicato un raffronto percentuale dei redditi (DTF 114 V 313 consid. 3a e riferimenti; STF I 759/2005 del 21 agosto 2006; Omlin, Die Invalidität in der obligatorischen Unfallversicherung, tesi Friburgo 1995, pag. 154). Ritenuto che il grado corrispondente di incapacità lavorativa del 40% della ricorrente nella precedente attività raggiunge il grado minimo di invalidità pensionabile (40%), vi sono i presupposti per concederle al massimo il diritto ad ¼ di rendita. In effetti, per la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A questo proposito nella sentenza I 759/2005 del 21 agosto 2006 l’Alta Corte ha rammentato che: " Du moment que l'intéressé est capable d'exercer son ancienne profession, une comparaison des revenus en pour-cent est indiquée (cf. ATF 114 V 313 consid. 3a et les références). Ainsi, le revenu d'invalide qu'il pourrait escompter gagner en mettant à profit sa capacité de travail correspond au minimum à 80% du revenu réalisable sans invalidité, dès lors que les experts du MEDAS ont attesté une diminution de rendement - de la capacité de travail - de 10% à 20%. Son incapacité de gain doit donc être fixée à 20% au maximum, ce qui n'ouvre pas le droit à une rente de l'assurance-invalidité.” (sottolineatura del redattore) Ne segue che, se dal raffronto dei redditi dovesse emergere un’inabilità maggiore l’insorgente, in virtù del suo obbligo di sfruttare al massimo la sua capacità lavorativa, avrebbe diritto al massimo ad ¼ di rendita, che verrebbe invece soppresso in caso di inabilità inferiore al 40%. 2.8.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dunque, va preso in considerazione un salario annuo di fr. 62'632 che l’interessata potrebbe conseguire svolgendo la sua precedente attività nel 2008 (cfr. doc. AI 120-1: fr. 57'850 nel 2002 [doc. AI 8-2], aggiornato a fr. 62'632 al 2008 [+ 1,3% nel 2003; + 0,9% nel 2004; + 1,0% nel 2005; + 1,2% nel 2006, + 1,6% nel 2007; + 2% nel 2008]; cfr. la vie économique 6-2010 tabella B 10.2, pag. 95). 2.9.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TA1 2008 elaborata dall'Ufficio federale di statistica, la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51’368 (4’116 : 40 X 41.6 X 12; cfr. anche sentenza U 8/07 del 20 febbraio 2008). L’assicurata, quale laboratorista in chimica, avrebbe guadagnato fr. 62’632 nel 2008. Tale reddito si situa sopra la media dei salari svizzeri per un’attività equivalente (cfr. Tabella TA1 p.to 23,24 “ cokeria; industria chimica ”: fr. 4’626 : 40 X 41.6 X 12 mesi = 57’732). Non sono, perciò, realizzati i presupposti per ridurre il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nel calcolo interno, l’UAI ha tenuto conto di una riduzione del 5% per attività leggere (cfr. doc. AI 120-2). Ritenuto che la riduzione del 5% è conforme alla giurisprudenza sopra menzionata, questo Tribunale non ha motivo per scostarsene. Ne segue che il reddito da invalido di fr. 51'368 va ridotto del 5% a fr. 48'800. Ritenuto che l’interessata può svolgere altre attività confacenti al suo stato di salute nella misura del 60%, il reddito da invalido ammonta a fr. 29'280 che, raffrontato con quello da valido di fr. 62'632, dà un tasso d’invalidità del 53%. Rilevato tuttavia l’obbligo di sfruttare al massimo la sua capacità lavorativa (cfr. consid. 8), l’interessata è tenuta a svolgere la sua precedente attività che le permette di ridurre la sua incapacità lavorativa, e dunque il suo diritto alla rendita, al 40%. In queste condizioni è a giusta ragione che l’UAI ha ridotto la rendita da intera ad un quarto con effetto dal primo giorno del secondo mese che segue la notifica della decisione (art. 88bis cpv. 2 lett. a OAI). 2.10.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