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32.2010.25 vom 5. Januar 2010</w:t>
      </w:r>
    </w:p>
    <w:p>
      <w:r>
        <w:t>TI Tribunale d'appello, 2010-01-05, IT</w:t>
      </w:r>
    </w:p>
    <w:p>
      <w:r>
        <w:rPr>
          <w:b/>
        </w:rPr>
        <w:t xml:space="preserve">Quelle: </w:t>
      </w:r>
      <w:r>
        <w:t>https://mcp.opencaselaw.ch/entscheid/ti_gerichte_32.2010.25</w:t>
      </w:r>
    </w:p>
    <w:p>
      <w:r>
        <w:t>FR: TI_GERICHTE 32.2010.25 du 5 janvier 2010</w:t>
      </w:r>
    </w:p>
    <w:p>
      <w:r>
        <w:t>IT: TI_GERICHTE 32.2010.25 del 5 gennaio 2010</w:t>
      </w:r>
    </w:p>
    <w:p>
      <w:pPr>
        <w:pStyle w:val="Heading2"/>
      </w:pPr>
      <w:r>
        <w:t>Regeste</w:t>
      </w:r>
    </w:p>
    <w:p>
      <w:r>
        <w:t>UAI ha rifiutato a ragione il diritto a prestazioni all'assicurato, ancora abile al lavoro al 100% in attività adeguate, non presentando un grado di invalidità inferiore al 40%</w:t>
      </w:r>
    </w:p>
    <w:p>
      <w:pPr>
        <w:pStyle w:val="Heading2"/>
      </w:pPr>
      <w:r>
        <w:t>Erwägungen</w:t>
      </w:r>
    </w:p>
    <w:p>
      <w:r>
        <w:rPr>
          <w:b/>
        </w:rPr>
        <w:t>E. 29</w:t>
      </w:r>
    </w:p>
    <w:p>
      <w:r>
        <w:t>cpv. 2 Cost. (DTF 124 V 94 consid. 4b, 122 V 162 consid. 1d, 119 V 344 consid. 3c con riferimenti). In concreto, alla luce delle risultanze di cui sopra, questo Tribunale ritiene la fattispecie sufficientemente chiarita, per cui non appare necessario procedere ad altri accertamenti medici.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dell’assicurato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