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32.2010.185 vom 31. Mai 2010</w:t>
      </w:r>
    </w:p>
    <w:p>
      <w:r>
        <w:t>TI Tribunale d'appello, 2010-05-31, IT</w:t>
      </w:r>
    </w:p>
    <w:p>
      <w:r>
        <w:rPr>
          <w:b/>
        </w:rPr>
        <w:t xml:space="preserve">Quelle: </w:t>
      </w:r>
      <w:r>
        <w:t>https://mcp.opencaselaw.ch/entscheid/ti_gerichte_32.2010.185</w:t>
      </w:r>
    </w:p>
    <w:p>
      <w:r>
        <w:t>FR: TI_GERICHTE 32.2010.185 du 31 mai 2010</w:t>
      </w:r>
    </w:p>
    <w:p>
      <w:r>
        <w:t>IT: TI_GERICHTE 32.2010.185 del 31 maggio 2010</w:t>
      </w:r>
    </w:p>
    <w:p>
      <w:pPr>
        <w:pStyle w:val="Heading2"/>
      </w:pPr>
      <w:r>
        <w:t>Regeste</w:t>
      </w:r>
    </w:p>
    <w:p>
      <w:r>
        <w:t>Viste le risultanze della visita SMR (attestante una capacità lavorativa dell'80% nell'attività abituale) a ragione l'Ufficio AI, sulla base di un confronto percentuale dei redditi, ha negato il diritto a prestazioni</w:t>
      </w:r>
    </w:p>
    <w:p>
      <w:pPr>
        <w:pStyle w:val="Heading2"/>
      </w:pPr>
      <w:r>
        <w:t>Erwägungen</w:t>
      </w:r>
    </w:p>
    <w:p>
      <w:r>
        <w:rPr>
          <w:b/>
        </w:rPr>
        <w:t>E. 25</w:t>
      </w:r>
    </w:p>
    <w:p>
      <w:r>
        <w:t>aprile 2007; STFA U 329/01 e U 330/01 del 25 febbraio 2003; DTF 125 V 352 consid. 3a, 122 V 160 consid. 1c; Meyer-Blaser, Die Rechtspflege in der Sozialversicherung, BJM 1989 pag. 31; Pratique VSI 3/1997 pag. 123),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SVR 1998 IV Nr. 1 pag. 2; SZS 1988 pagg. 329 e 332; ZAK 1986 pag. 189; Locher, Grundriss des Sozialversicherungsrechts, Berna 2003, pag. 453).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Il TFA, in una decisione I 938/05 del 24 agosto 2006 concernente un caso di assicurazione per l ' invalidità ,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(STFA I 938/05 del 24 agosto 2006, consid. 3.2) In una sentenza del 14 luglio 2009, (9C_323/2009), pubblicata in SVR 2009 IV Nr. 56, pag. 174, il TF, richiamati l’art. 59 cpv. 2 bis LAI che regola i servizi medici regionali e l’art. 49 OAI che stabilisce i compiti, ha sottolineato che a un rapporto del SMR può essere riconosciuta la qualità di perizia, anche se è stato redatto senza aver visitato personalmente l’assicu-rato. Al riguardo, l’Alta Corte, nella sentenza 9C_524/2010 del 27 ottobre 2010, ha precisato quanto segue: " (…) per il nuovo art. 59 cpv. 2bis LAI, in vigore dal 1° gennaio 2008 e - almeno in parte - applicabile in concreto, i servizi medici regionali sono a disposizione degli uffici AI per valutare le condizioni mediche del diritto alle prestazioni, stabiliscono la capacità funzionale dell'assicurato - determinante per l'AI secondo l'articolo 6 LPGA - ad esercitare un'attività lucrativa o a svolgere le mansioni consuete in una misura ragionevolmente esigibile e sono indipendenti per quanto concerne le decisioni in ambito medico nei singoli casi. A questo riguardo va ricordato che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9C_323/2009 del 14 luglio 2009 consid. 4.2, in SVR 2009 IV n. 56 pag. 174 con riferimenti). (…)" (STF 9C_524/2010 del 27 ottobre 2010 , consid. 2)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 op. cit., ad art. 28a, pag. 353).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In DTF 127 V 294 l'Alta Corte ha infatti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2.8.   Nell’evenienza concreta, richiamata la suesposta giurispru-denza in materia di valore probatorio di rapporti medici, questo Tribunale non intravede ragioni che gli impediscano di far proprie le conclusioni cui sono giunti i medici del SMR, i quali hanno compiutamente valutato le differenti affezioni di cui l’assicurato è portatore, giungendo ad una conclusione logica e priva di contraddizioni che conferma una capacità lavorativa dell’80% nella sua attività abituale e del 100% in un’attività adeguata. Quanto al momento a partire dal quale detta valutazione deve essere ritenuta valida, questo Tribunale rileva che anche se nel rapporto medico 2 marzo 2010 si legge che “(…) dal 1.10.2009 (chiusura infortunio), risulta esigibile incapacità lavorativa del 20% in attività abituale. In attività lavorativa rispettosa dei limiti funzionali incapacità lavorativa 0% (…)” (doc. AI 16/6), in realtà con ogni verosimiglianza vi sarebbe da ritenere che faccia stato il 1. ottobre 2008 visto che è quello il momento in cui è stato chiuso il caso di infortunio (cfr. doc. 32/1-2 dell’incarto cassa malati). In ogni caso detta valutazione vale sicuramente almeno a partire dal mese di marzo 2010, mese in cui ha avuto luogo l’esame medico. Il TCA rileva innanzitutto che il rapporto medico non datato del dr. __________ sub doc. AI 10/1-5 è stato considerato dai medici SMR nel rapporto 2 marzo 2010 (doc. AI 16/1-7), visto che le diagnosi poste dal dr. __________ sono state riprese dal dr. __________ nelle annotazioni 29 gennaio 2010 (doc. AI 12/1) in base alle quali è stato ordinato un esame medico a cura del SMR (doc. AI 13/1) (cfr. consid. 2.6) Non è possibile concludere differentemente anche avuto riguardo al certificato medico 19 aprile 2010 nel quale il dr. __________ ha solo attestato un’incapacità lavorativa del 50% dal 1. giugno 2009 in modo durevole (doc. AI 26/4). Quanto al rapporto 23 agosto 2010 indirizzato alla RA 1, nello stesso il dr. __________, poste le medesime diagnosi, si è limitato a ribadire in modo del tutto generico e senza documentare che “(…) come da lei richiesto, ribadisco, quale medico di famiglia del suddetto paziente che lo stesso rimane inabile al lavoro al 50% dall’01.06.2009 a seguito delle diagnosi sopra esposte. Il paziente infatti presenta una sindrome panvertebrale su gravi alterazioni statico-degenerative del rachide cervicale e lombosacrale. Può lavorare solo 4 ore al giorno e poi si deve sdraiare e riposare. Per queste ragioni ha assunto un aiuto per il proprio negozio. (…)” (doc. D). Al riguardo anche i medici SMR, nelle annotazioni 12 maggio e 30 agosto 2010, hanno osservato che “(…) riguardo al certificato del dr. __________ del 19.04.2010, esso non documenta giustificazione clinica a supporto di quanto attesta (…)” (doc. AI 29/1) e che “(…) dal certificato del dr. __________ [ndr.: si riferisce al rapporto del 23 agosto 2010] non risulta una nuova diagnosi o una sostanziale modifica dello stato di salute rispetto la valutazione in ambito SMR (…)” (VIII/1). Del resto il dr. __________ non documenta e/o motiva in alcun modo per quali ragioni le conclusioni a cui sono giunti i medici SMR sarebbero errate. Il dr. __________, nelle conclusioni in merito all’esame RM-colonna cervicale del</w:t>
      </w:r>
    </w:p>
    <w:p>
      <w:r>
        <w:rPr>
          <w:b/>
        </w:rPr>
        <w:t>E. 27</w:t>
      </w:r>
    </w:p>
    <w:p>
      <w:r>
        <w:t>luglio 2009 (doc. 15/2-3), non si è espresso sulla capacità lavorativa e al riguardo i medici SMR, nelle annotazioni 12 maggio 2010, hanno precisato che “(…) è risaputo che non è giustificabile una correlazione tra peggioramento radiologico e peggioramento clinico (…)” (doc. AI 29/1). Anche il dr. __________, FMH in medicina generale, nel certificato medico 10 settembre 2009 – oltretutto contraddicendosi rispetto ai diversi periodi e capacità lavorative attestate nel certificato d’infortunio LAINF (fax del 15 settembre 2008 sub doc. 30/1 dell’incarto cassa malati) – ha solo attestato in modo del tutto generico e senza documentare che “(…) il paziente summenzionato è stato inabile al lavoro nella misura del 50% da febbraio 2008 ad aprile 2009 (…)” (doc. AI 33/16).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Quanto alla patologia psichiatrica – atteso che nel certificato medico 20 agosto 2010 il dr. __________, FMH in psichiatria e psicoterapia: non ha contestato la valutazione 2 marzo 2010 dei medici SMR; non ha posto una diagnosi secondo una classificazione internazionalmente riconosciuta e nemmeno ha indicato in cosa consisterebbe il trattamento limitandosi ad attestare che “(…) il signor RI 1, 1951, __________ è in cura con lo scrivente da Settembre 2009 per il perdurare di uno stato depressivo ad andamento recidivante reattivo a problematica fisiatrica. Il quadro clinico si caratterizza per un tono dell’umore deflesso, ansia, tensione, disturbi del sonno, difficoltà nel mantenersi sufficientemente concentrato a lungo con affaticabilità, demotivazione, vissuti auto squalificanti di incapacità e perdita di ruolo. Tale condizione psicopatologica nel corso dei mesi è rimasta pressoché immodificata sulla base di compromesse capacità introspettive del paziente e reattività modesta e per tale motivo è da ritenere inabile al lavoro in misura di almeno il 50% (…)” (doc. E) – questo Tribunale deve fare proprie le annotazioni 1. settembre 2010 nelle quali il dr. __________ ha osservato che “(…) il quadro clinico da me osservato, risp. la descrizione della giornata riferita dall’A.o stesso, non facevano rilevare una riduzione della funzionalità lavorativa al momento del colloquio del 2 marzo u.s. Poiché lo stesso curante indica uno stato invariato dal momento della presa a carico nel 2009 e non specifica una diagnosi secondo ICD-10 o DSM, ris. una sintomatologia oggettivamente differente da quanto da me osservato, confermo la mia presa di posizione (…)” . Nemmeno è possibile concludere differentemente anche avuto riguardo al rapporto 23 giugno 2010 del dr. __________ (doc. C), FMH in neurologia, indirizzato al dr. __________. Infatti, il dr. __________ non ha contestato la valutazione 2 marzo 2010 dei medici SMR e – poste le diagnosi di “(…) – brachialgie parestetiche bilaterali su modesta compressione cronica dei due nervi mediani nei canali carpali – sindrome pan vertebrale su importanti alterazioni statico-degenerative del rachide cervicale e lombosacrale (…)” (doc. C) – non si è espresso in alcun modo sulla capacità lavorativa. Al riguardo nelle annotazioni 29 luglio 2010 il dr. __________ ha formulato la seguente valutazione: “(…) l’attuale rapporto del neurologo dr. __________ esclude un peggioramento clinico a livello del rachide cervicale. Presenza unicamente d’una compressione moderata a livello dei nervi mediano con indicazione ad applicazione di stecca di notte, ev. infiltrazione (la compressione non è tale da rendere necessario un intervento chirurgico). Viene riconfermata la presenza di una sindrome pan vertebrale. In conclusione l’attuale rapporto medico non documenta un sostanziale peggioramento dello stato di salute dell’assicurato. La presenza di una compressione dei nervi mediani è problematica trattabile in modo semplice e non comporta una impedimento funzionale prolungato. Da notare che un intervento comporterebbe una IL di poche settimane. (…)” (IV/bis). Viste le risultanze mediche suesposte questo Tribunale deve concludere che, senza che sia necessario esperire ulteriori accertamenti medici, sicuramente almeno dal mese di marzo 2010 (mese in cui è stato esperito l’esame medico presso il SMR; cfr. doc. AI 15/1 e 16/1-7), l’assicurato va ritenuto abile al lavoro all’80% nella sua attività abituale e al 100% in un’attività adeguata rispettosa dei limiti funzionali posti. Le valutazioni del dr. __________ e del dr. __________, seppur divergenti unicamente per quanto riguarda la valutazione della capacità lavorativa dell’insorgente, non apportano elementi oggettivi che siano stati ignorati dai medici del SMR e vanno quindi intese nel senso di una diversa valutazione delle conseguenze che le patologie dell’interessato hanno sulla capacità di lavoro. Va qui ricordato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e che il solo fatto che uno o più medici curanti esprimano un’opinione contraddittoria non è sufficiente a rimettere in discussione una perizia ordinata dal giudice o dall’ammini-strazione e a imporre nuovi accertamenti (STF 9C_9/2010 del 29 settembre 2010, consid. 3.4 e i rinvii giurisprudenziali ivi menzionati). 2.9.   Riguardo alla censura secondo la quale “(…) l’Ufficio AI ha manifestamente violato il diritto di essere sentito, poiché oltre a non aver esperito gli accertamenti necessari, non ha nemmeno atteso l’esito del consulto neurologico specialistico, comportandosi così, ha dunque violato il diritto fondamentale del ricorrente di essere sentito (…)” (I, punto 12), il TCA rileva quanto segue. In base a quanto esposto al precedente considerando, questo Tribunale ha potuto appurare che l’Ufficio AI ha intrapreso gli accertamenti necessari e che sulla base degli stessi era possibile pronunciarsi sulla capacità lavorativa residua. Quanto al rapporto 23 giugno 2010 del dr. __________ lo stesso è stato prodotto davanti al TCA che gode di pieno potere di cognizione e l’assicurato ha preso posizione anche sulle annotazioni 29 luglio 2009 espresse dal dr. __________ in merito (doc. C, IV/bis e VI). Del resto, con la risposta, l’amministrazione ha puntualizzato: “(…) osserviamo come il termine legale di 30 giorni per presentare osservazioni prescritto dall’art. 73ter cpv. 1 OAI non sia prorogabile (cfr. art. 40 cpv. 1 LPGA). Scaduto il termine precitato, il presente Ufficio ha emesso la propria decisione formale. Non si ritiene pertanto di aver violato il diritto di essere sentito. (…)” (IV, pag. 4). Va poi qui ancora ricordato che nella STF I 688/06 dell’8 ottobre 2007 il TF ha affermato che “(…) da un rinvio degli atti all’amministrazione per garantire il diritto di essere sentito si può infatti – eccezionalmente (DTF 127 V 431 consid. 3d/aa pag. 437; 126 I 72; 126 V 130 consid. 2b pag. 132 con riferimenti) – prescindere se il rinvio si esaurirebbe in un vuoto esercizio procedurale e ritarderebbe inutilmente la procedura, in contrasto con l’interesse della parte lesa ad ottenere un giudizio in tempi rapidi (DTF 132 V 387 consid. 5.1 pag. 390; 116 V 182 consid. 3d pag. 187) . Orbene, questa Corte ha più volte osservato che se l’assicurato nella procedura precedente non ha formulato una richiesta di rinvio degli atti all’amministrazione a garanzia del suo diritto di essere sentito, ciò lascia concludere per un suo maggiore interesse a una rapida evasione della causa piuttosto che a un’esecuzione formalmente corretta della procedura ed osta pertanto all’annullamento dell’atto impugnato e al rinvio della causa all’amministrazione per rimediare al vizio (DTF 132 V 387 consid. 6.1 pag. 391; 119 V 208 consid. 6 pag. 218; cfr. pure la sentenza del Tribunale federale delle assicurazioni I 618/04 del 20 settembre 2006, riassunta in RSAS 2007 pag. 61, consid. 9) (…)” (STF I 688/06 dell’8 ottobre 2007, consid. 3.1.2). 2.10.   Quanto alla valutazione economica occorre qui ricordare che,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Nella fattispecie, va considerato che, come accennato (cfr. consid. 2.2) – visto che la richiesta di prestazioni AI è stata presentata nel mese di novembre 2009; doc. AI 1/1-9 e 2/1-2 – , il diritto alla rendita nascerebbe al più presto a far tempo dal 1. maggio 2010 (art. 29 cpv. 1 e 3 LAI) e che, da un punto di vista medico-teorico, a quel momento è stata accertata una capacità lavorativa dell’80% nell’attività abituale e del 100% in un’altra attività adeguata rispettosa dei limiti funzionali posti (cfr. consid. 2.8). Va qui osservato che conformemente ad un principio generale applicabile anche nel diritto delle assicurazioni sociali, all'assicurato incombe l'obbligo di ridurre il danno (DTF 123 V 230 consid. 3c pag. 233, 117 V 275 consid. 2b pag. 278, 117 V 394 consid. 4b pag. 400 e i riferimenti ivi citati; Riemer-Kafka, Die Pflicht zur Selbstverantwortung, Friborgo 1999, pagg. 57, 551 e 572).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22 consid. 4a pag. 28 e sentenze ivi citate; Landolt , Das Zumutbarkeitsprinzip im schweizerischen Sozialversicherungsrecht, tesi Zurigo 1995, pag. 296 segg.). Non è quindi dato alcun diritto ad una rendita se la persona interessata è in grado di percepire un reddito tale da escluderne l'erogazione (DTF 113 V 22 consid. 4a pag. 28; RCC 1968 pag. 434). In concreto, visto che l ' assicurato presenta, secondo i medici del SMR, un tasso di capacità lavorativa ancora dell’80 % nella sua attività abituale, egli, per ridurre il danno, avrebbe potuto continuare a mettere a frutto questa sua capacità nella precedente professione, essendo quindi teoricamente in grado di conseguire un reddito corrispondente dell’80% del reddito realizzabile senza il danno alla salute. In questo caso è quindi indicato un raffronto percentuale dei redditi (DTF 114 V 313 consid. 3a e riferimenti; STF I 759/2005 del 21 agosto 2006; STCA dell ' 8 settembre 2008, 32.2007.271 ; Omlin, Die Invalidität in der obligatorischen Unfallversicherung, pag. 154). In effetti, per la giurisprudenza se il danno alla salute non è tale – come in casu, in base alle conclusioni dei medici SMR – da imporre un cambiamento di professione, di regola il giudizio sull’incapacità al guadagno non esprimerà valori superiori all’incapacità lavorativa indicata dal medico. Questo perché si suppone che esplicando tutto l’impegno professionale che la restante capacità lavorativa medico-teorica ancora permette di sviluppare, l’assicurato esprima una capacità di guadagno della medesima proporzione (RAMI 1993 U 168, pag. 100; DTF 114 V 313, consid. 3b; STCA del 21 marzo 1995 nella causa S. F., del 31 maggio 1995 nella causa E. D., del 7 giugno 1995 nella causa M. Z. e del 26 febbraio 1996 nella causa G). Visto che l’insorgente conserva una capacità lavorativa residua dell’80% nella sua attività abituale , nella quale è in grado di conseguire un reddito corrispondente all’80% del reddito realizzabile senza il danno alla salute, l’incapacità lucrativa del ricorrente ammonta dunque al 20%. E’ dunque a ragione che l’Ufficio AI ha negato all’assicurato il diritto ad una rendita (cfr. consid. 2.4). Va qui rilevato che il TF, in una sentenza 9C_294/2008 del 19 marzo 2009, ha ancora una volta ritenuto corretto considerare che un’assicurata, inabile al lavoro al massimo al 30% sia nella sua professione abituale, che in altre attività, presenta un grado di invalidità del 30%. Alla medesima soluzione l'Alta Corte è arrivata in una sentenza 8C_558/2008 del 17 marzo 2009 per un assicurato inabile al lavoro al 50% nella sua professione. 2.11.   In simili circostanze, visto tutto quanto precede, la decisione impugnata va confermata e il ricorso respinto. 2.12.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