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32.2010.174 vom 18. Mai 2010</w:t>
      </w:r>
    </w:p>
    <w:p>
      <w:r>
        <w:t>TI Tribunale d'appello, 2010-05-18, IT</w:t>
      </w:r>
    </w:p>
    <w:p>
      <w:r>
        <w:rPr>
          <w:b/>
        </w:rPr>
        <w:t xml:space="preserve">Quelle: </w:t>
      </w:r>
      <w:r>
        <w:t>https://mcp.opencaselaw.ch/entscheid/ti_gerichte_32.2010.174</w:t>
      </w:r>
    </w:p>
    <w:p>
      <w:r>
        <w:t>FR: TI_GERICHTE 32.2010.174 du 18 mai 2010</w:t>
      </w:r>
    </w:p>
    <w:p>
      <w:r>
        <w:t>IT: TI_GERICHTE 32.2010.174 del 18 maggio 2010</w:t>
      </w:r>
    </w:p>
    <w:p>
      <w:pPr>
        <w:pStyle w:val="Heading2"/>
      </w:pPr>
      <w:r>
        <w:t>Regeste</w:t>
      </w:r>
    </w:p>
    <w:p>
      <w:r>
        <w:t>Decisione con la quale UAI ha attribuito all'assicurato 1/4 di rendita a partire dal 1° giugno 2009 va modificata nel senso che l'interessato ha sì diritto ad 1/4 di rendita AI,ma a decorrere dal 1° agosto 2008.Errore dell'UAI nel calcolo della media retrospettiva</w:t>
      </w:r>
    </w:p>
    <w:p>
      <w:pPr>
        <w:pStyle w:val="Heading2"/>
      </w:pPr>
      <w:r>
        <w:t>Erwägungen</w:t>
      </w:r>
    </w:p>
    <w:p>
      <w:r>
        <w:rPr>
          <w:b/>
        </w:rPr>
        <w:t>E. 28</w:t>
      </w:r>
    </w:p>
    <w:p>
      <w:r>
        <w:t>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ULRICH MEYER-BLASER, Bundesgesetz über die Invalidenversicherung, 1997, S. 236 f.)." Se l'assicurato esercita un'attività a tempo pieno durante almeno 30 giorni consecutivi, il termine di 360 giorni viene interrotto (art. 29ter OAI). Vi è interruzione notevole del termine di 360 giorni ai sensi dell'art. 29 cpv. 1 LAI (nella versione in vigore fino al 31 dicembre 2007)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I 148/98 del</w:t>
      </w:r>
    </w:p>
    <w:p>
      <w:r>
        <w:rPr>
          <w:b/>
        </w:rPr>
        <w:t>E. 29</w:t>
      </w:r>
    </w:p>
    <w:p>
      <w:r>
        <w:t>cpv. 2 Cost. (SVR 2001 IV no. 10 p. 28; DTF 124 V 94 consid. 4b, 122 V 162 consid. 1d, 119 V 344 consid. 3c con riferimenti). In concreto, alla luce delle risultanze di cui sopra, questo Tribunale ritiene la fattispecie sufficientemente chiarita, per cui non appare necessario procedere ad altri accertamenti medici, né all’audizione richiesta e neppure occorre richiamare le cartelle mediche dell’assicurato. 2.13.   Parzialmente v incente in causa, il ricorrente, rappresentato da un legale , ha diritto ad un’indennità per ripetibili ridotta (art. 61 lett. g LPGA).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250.-- a carico dell’Ufficio AI e di fr. 250.-- a carico del ricorrente. 2.15. L’assicurato ha chiesto l'assistenza giudiziaria (cfr. doc. I, consid.1.3.). Ritenuti l'esito della lite e il diritto a ripetibili parziali, tale richiesta, per quanto attiene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STFA 7 maggio 2007 nella causa B., I 134/06,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ricorrente, nato il 24.09.1973, coniugato e padre di due figli, senza attività lucrativa si trova nel bisogno. L’assicurato ha infatti dichiarato di percepire unicamente un assegno familiare integrativo di fr. 1'377.- e fr. 1'601.- mensili dall’Ufficio del sostegno sociale (cfr. documentazione allegata al doc. VII/bis). Egli non ha inoltre dichiarato di possedere della sostanza (cfr. certificato municipale, doc. VII/bis).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per la parte del ricorso in cui il ricorrente è soccombente,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