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32.2010.166 vom 14. Mai 2010</w:t>
      </w:r>
    </w:p>
    <w:p>
      <w:r>
        <w:t>TI Tribunale d'appello, 2010-05-14, IT</w:t>
      </w:r>
    </w:p>
    <w:p>
      <w:r>
        <w:rPr>
          <w:b/>
        </w:rPr>
        <w:t xml:space="preserve">Quelle: </w:t>
      </w:r>
      <w:r>
        <w:t>https://mcp.opencaselaw.ch/entscheid/ti_gerichte_32.2010.166</w:t>
      </w:r>
    </w:p>
    <w:p>
      <w:r>
        <w:t>FR: TI_GERICHTE 32.2010.166 du 14 mai 2010</w:t>
      </w:r>
    </w:p>
    <w:p>
      <w:r>
        <w:t>IT: TI_GERICHTE 32.2010.166 del 14 maggio 2010</w:t>
      </w:r>
    </w:p>
    <w:p>
      <w:pPr>
        <w:pStyle w:val="Heading2"/>
      </w:pPr>
      <w:r>
        <w:t>Regeste</w:t>
      </w:r>
    </w:p>
    <w:p>
      <w:r>
        <w:t>Viste le risultanze del rapporto medico SMR (attestante una capacità lavorativa medico teorica del 100% in attività adeguata) e del consulente in integrazione (attestante attività realizzabili al 100%) a ragione l'Ufficio AI, sulla base del confronto dei redditi, ha negato il diritto a prestazioni</w:t>
      </w:r>
    </w:p>
    <w:p>
      <w:pPr>
        <w:pStyle w:val="Heading2"/>
      </w:pPr>
      <w:r>
        <w:t>Erwägungen</w:t>
      </w:r>
    </w:p>
    <w:p>
      <w:r>
        <w:rPr>
          <w:b/>
        </w:rPr>
        <w:t>E. 8</w:t>
      </w:r>
    </w:p>
    <w:p>
      <w:r>
        <w:t>cpv. 1 LAI, nella versione in vigore dal 1° gennaio 2008 qui applicabile, stabilisce che: " Gli assicurati invalidi o minacciati da un’invalidità (art. 8 LPGA) hanno diritto ai provvedimenti d’integrazione per quanto: " a.  essi siano necessari e idonei per ripristinare, conservare o migliorare la loro capacità al guadagno o la loro capacità di svolgere le mansioni consuete; e b.  le condizioni per il diritto ai diversi provvedimenti siano adempiute. " Nel Messaggio (pubblicato sul FF N. 30 del 2 agosto 2005, pag. 3989-4130) concernente la modifica della legge federale sull’assicurazione per l’invalidità (5 a revisione dell’AI) si legge che: " Capoverso 1: il presente capoverso stabilisce le condizioni generali d’assegna-zione per i provvedimenti d’integrazione. Le condizioni applicabili rimangono essenzialmente le stesse, ma in futuro basterà che vi sia una minaccia di invalidità e non più una minaccia diretta di invalidità. La legge precisa ora espressamente che i provvedimenti d’integrazione possono essere assegnati solo se sono adempiute sia le condizioni d’assegnazione generali sia le condizioni specifiche applicabili ai diversi provvedimenti d’integrazione. " Al riguardo, nella STF 9C_547/2009 del 30 ottobre 2009 pubblicata in SVR 2010 IV Nr. 16, l’Alta Corte ha sottolineato che: " (…) Der Anspruch auf Eingliederungsmassnahmen setzt somit nur noch eine drohende, und nicht mehr eine unmittelbar drohende Invalidität (Art. 8 Abs. 1 IVG in der bis 31. Dezember 2007 gültig gewesenen Fassung) voraus (Botschaft des Bundesrates zur Änderung des Bundesgesetzes über die Invalidenversicherung [5.Revision] vom 22. Juni 2005, BB1 2005 S. 4560). (…) " (SVR 2010 IV Nr. 16, consid. 2, pag. 50) Fra i provvedimenti d'integrazione concessi in virtù della LAI sono previsti pure i provvedimenti professionali (art. 8 cpv. 3 lett. b LAI), che comprendono l'orientamento professionale (art. 15 LAI), la prima formazione professionale (art. 16 LAI), la riformazione professionale (art. 17 LAI), il servizio di collocamento (art. 18 LAI), l’assegno per il periodo d’introduzione (art. 18a LAI) e l’aiuto in capitale (art. 18b LAI). 2.4.   L’art. 17 LAI prevede in particolare che l’assicurato ha diritto alla formazione in una nuova attività lucrativa, se la sua invalidità esige la riformazione professionale e se con questa la capacità al guadagno possa essere presumibilmente conservata o migliorata. Invalido ai sensi di questa disposizione è un assicurato che, a causa del tipo e della gravità del danno alla salute subito, patirebbe, senza una riformazione professionale, una perdita di guadagno pari almeno al 20% (DTF 130 V 488, 124 V 108, consid. 2b, pag, 110-111; STF 8C_515/2010 del 20 ottobre 2010, consid. 3 e i riferimenti giurisprudenziali ivi citati).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108, consid. 2a, pag. 109-110; DTF 122 V 77, consid. 3b/bb, pag. 79-80).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 Bundesgesetz über die Invalidenversicherug, in: Rechtsprechung des Bundesgerichts zum Sozialversicherungsrecht, 2010, ad art. 17, pag. 201).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108, consid. 2b, pag. 110-111) richiesta per aver diritto ai provvedimenti d'integrazione professionale (STFA I 237/00 del 20 febbraio 2002; Pratique VSI 2000, pag. 31-32, consid. 2 e 3b, RDAT I 1998 pag. 294). 2.5.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Basilea/Ginevra/Monaco di Baviera 2007, pag.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2.6.   Nel caso di specie, l’Ufficio AI ha fondato, dal profilo medico, la propria decisione di rifiuto delle prestazioni sul rapporto 8 gennaio (doc. AI 18/1-3) e le annotazioni 18 gennaio 2010 (doc. AI 20/1) del dr. __________, medico SMR. Nel rapporto 8 gennaio 2010 il dr. __________ – posta la diagnosi principale di “(…) sordità di percezione a dx (dal 2006) (…)” (doc. AI 18/1) e ritenuti i seguenti limiti funzionali: “(…) evitare ambienti rumorosi. Impedimento di tipo uditivo a dx. Rischio di diminuzione della capacità uditiva a sx. (…)” (doc. AI 18/2) – ha così concluso: “(…) abilità completa in attività lavorativa in cui siano assenti rumori e/o rischi per l’udi-to. Attualmente l’acuità uditiva a sx è soddisfacente, mentre vi è una sordità assoluta a dx. Non vi è alcun mezzo attualmente ipotizzabile per migliorare la capacità uditiva. (…)” (doc. AI 18/2). Lo stesso sanitario, nelle annotazioni 18 gennaio 2010, ha precisato: " (…) In considerazione del rapporto medico SMR dell’8.1.2010, si conferma che l’A. a causa di problematiche uditive (vedi rapporto citato) non può svolgere l’abituale attività lavorativa di operaio “assemblaggio e controllo nella produzione ruote”. E precisamente a partire dal 2008, come cita il collega otorinolaringoiatra Dr. med. __________ nel suo rapporto pervenutoci il 22.05.2009. Attività abituale IL 100% dal 2008 Attività adeguata IL 0% dal 2008, con la precisa limitazione di: -  professione a grado normale di competenza uditiva e senza rischio d’aggra-vamento uditivo da esposizione a rumore. (…) " (doc. AI 20/1) In sede ricorsuale l’assicurato – evidenziato che non è mai stato visitato da un medico SMR – ha contestato la valutazione medica producendo il certificato medico 1. giugno 2010 nel quale il dr. __________, FMH in medicina generale, (osservato che segue il paziente dall’ottobre 1999 e elencate le operazioni e visite a cui è stato sottoposto) ha concluso che “(…) dal punto di vista medico il signor RI 1 è inabile al lavoro al 100% per tutte le professioni finora esercitate in Svizzera. Deve inoltre evitare in modo assoluto l’esposizione a fonti rumorose di qualsiasi tipo. Potrebbe essere abile in maniera quasi completa in una professione da valutare con una necessaria ed attenta riqualifica professionale. (…)” (doc. C). Al riguardo, nelle annotazioni 23 giugno 2010, il dr. __________, medico SMR, si è così espresso: " (…) Viene presentato rapporto dr. __________ del 1.6.2010: -  non contiene nessun elemento nuovo Valutazione e conclusione: -  si conferma l’esigibilità lavorativa come da valutazione specialistica -  da notare che l’assicurato presenta un udito normale della controparte (…) " (IV/Bis)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 Spetta in seguito al consulente professionale, avuto riguardo alle indicazioni sanitarie, valutare quali attività professionali siano concretamente ipotizzabili (Meyer, op. cit., ad art. 28a, punto b, pag. 348).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op. cit., ad art. 28a, pag. 353).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Nella fattispecie, chiamato a verificare se lo stato di salute del ricorrente è stato accuratamente vagliato dall’amministrazio-ne, questo Tribunale, conformemente alla giurisprudenza federale (cfr. consid. 2.7), dopo attenta analisi della documentazione medica agli atti, deve concludere che non vi è motivo per distanziarsi dalla valutazione del SMR, sulla quale si fonda la decisione di rifiuto delle prestazioni. Nel rapporto medico 8 gennaio e nelle annotazioni 18 gennaio 2010 (doc. AI 18/1-3 e 20/1 in parte riprodotti al consid. 2.6), il dr. __________ ha infatti considerato l’assicurato abile al lavoro al 100% in attività adeguate rispettose dei limiti funzionali posti. Il TCA concorda con questa valutazione che si fonda su quanto valutato sia dal dr. __________, che nel rapporto medico 23 aprile 2009 (doc. AI 5/1-5) ha proposto una riqualifica professionale “(…) in un ambiente lavorativo privo di rumori che possono minacciare la capacità uditiva residua all’oreccio sinistro. (…)” (doc. AI 5/5), che dal dr. __________, FMH ORL e chirurgia facciale, che nel rapporto 18 maggio 2009 (doc. AI 16/1-3), quale misura d’integrazione possibile, ha indicato la “(…) scelta di una professione a grado normale di competenza uditiva e senza rischio d’aggravamento uditivo da espiazione a rumore. (…)” (doc. AI 16/2). Detta valutazione è pure confermata dal fatto che l’assicurato si è iscritto al collocamento alla ricerca di un’occupazione a tempo pieno dal 1. maggio 2009 (doc. 1/1-5 dell’incarto disoccupazione). Del resto, il dr. __________, nel certificato medico 1. giugno 2010, ha attestato sostanzialmente una capacità lavorativa totale in un’attività adeguata: “(…) potrebbe essere abile in maniera quasi completa in una professione da valutare con una necessaria ed attenta riqualifica professionale. (…)” (doc. C)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Ora, questo Tribunale ritiene che la refertazione medica agli atti contiene elementi chiari e sufficienti per valutare l'inabilità lavorativa nella sua attività abituale e la capacità totale in un’attività adeguata rispettosa dei limiti funzionali posti sino all'emanazione del querelato provvedimento, senza che si renda quindi necessario l'esperimento di ulteriori accertamenti. Pertanto, sulla base delle affidabili e concludenti risultanze specialistiche,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è da ritenere dimostrato con il grado della verosimiglianza preponderante valido nell'ambito delle assicurazioni sociali (DTF 126 V 360,125 V 195 consid. 2 e i riferimenti ivi citati), che sino al momento dell’emanazione del querelato provvedimento l'assicurato presentava una capacità lavorativa medico-teorica completa in attività adeguate e rispettose dei limiti funzionali posti. 2.9.   Per costante giurisprudenza la questione relativa alle attività professionali concretamente realizzabili è di competenza del consulente in integrazione professionale (STF 9C_13/2007 del 31 marzo 2008 citata al consid. 2.7 e Meyer, op. cit., ad art. 28a, punto b, pag. 348 ). Nel caso concreto, la consulente in integrazione, nel rapporto finale 19 febbraio 2010 (doc. AI 21/1-4) – ritenuto che “(…) nell’attività abituale di operaio addetto all’assemblaggio e controllo nella produzione di ruote l’A. è inabile al lavoro nella misura del 100% dal 2008. Per contro in un’attività adeguata (professione a grado normale di competenza uditiva e senza rischio d’aggravamento uditivo da esposizione a rumore) l’A. è abile al lavoro nella misura del 100% dal 2008. (…)” (doc. AI 21/1) – , circa le attività possibili senza (ri)formazione specifica, ha concluso che: " (…) Sulla base delle indicazioni mediche sopra esposte, l’assicurato potrebbe essere reintegrato sul mercato libero del lavoro in attività semplici, leggere e poco qualificate a condizione che non si tratti di ambienti rumorosi. Per quanto riguarda il settore industriale si possono trovare degli ambienti rumorosi (come quello in cui l’A. era inserito in precedenza) ma anche degli ambienti in cui i rumori sono molto ridotti. Tenendo in considerazione solamente quegli ambienti ritenuti adeguati si possono identificare i seguenti campi di attività: • Operaio generico (mansioni d’assemblaggio, stampa, rifinitura, lucidatura, controllo del funzionamento e della qualità, attività di controllo, di sorveglianza, riparazioni, imballaggio, etichettatura). •    Vendita al dettaglio (es. addetto alla vendita di carburanti e servizi collaterali). •    Fattorino addetto alla distribuzione e consegna a domicilio di merce non troppo pesante (es. fiori, prodotti farmaceutici). • Portiere, custode, guardarobiere in campo alberghiero. • Compiti di controllo/manutenzione tipici delle organizzazioni comunali (letturista, ripristino dei cestini, pulizia fontane, servizi). • Personale ausiliario addetto ad attività collaterali semplici, per lo più di tipo manuale (archivio, servizio meccanografici, di duplicazione, economato e similari). (…)" (doc. AI 21/2 ) Chiamato a pronunciarsi questo Tribunale ritiene che – a prescindere dal fatto che il giudice non può scostarsi dalle valutazioni dell’amministrazione senza fondati motivi (DTF 126 V 80 consid. 5b/dd e 6) e che il ricorrente non ha minimamente documentato e/o motivato in modo pertinente le ragioni per le quali egli non sarebbe realisticamente reintegrabile nelle attività elencate dalla consulente in integrazione – come indicato dall’amministrazione, all’assicurato può essere ragionevolmente 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ribadito che, sia nell’ambito industriale che nel settore delle prestazioni di servizio, vi sono, in effetti, delle attività che non richiedono un udito da ambo le parti, che non sono particolarmente rumorose e che non presuppongono particolari attitudini intellettuali e/o una formazione specifica . Va poi evidenziato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2.10.   Quanto alla valutazione economica, ricordato che l'invalidità nell'ambito delle assicurazioni sociali svizzere è un concetto di carattere economico-giuridico e non medico (DTF 116 V 249 consid. 1b, 110 V 275 consid. 4a), che per il raffronto dei redditi fa stato il momento dell’inizio dell’eventuale diritto alla rendita (DTF 129 V 222) – per cui nel caso concreto sono determinanti i dati del 2009 visto che è dal 2008 che vi è un’inabilità lavorativa completa nell’attività abituale e ritenuto che questo è anche l’anno in cui ha chiesto delle prestazioni – e che conformemente ad un principio generale applicabile anche nel diritto delle assicurazioni sociali vale l'obbligo di ridurre il danno (e che non è quindi dato alcun diritto ad una rendita se la persona interessata è in grado di percepire un reddito tale da escluderne l'erogazione), valgono le seguenti considerazioni. 2.10.1.   Per quel che concerne il reddito da valido, va ricordato che, è decisivo stabilire, secondo il principio della verosimiglianza preponderante, quanto l’assicurato guadagnerebbe, al momento della nascita del diritto alla rendita, se fosse sano (STFA inedite del 13 giugno 2003 I 475/01 e del 23 maggio 2000 U 243/99; RAMI 1993 no. U 168 pag. 100 consid. 3b con riferimenti, vedi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(DTF 96 V 29; ZAK 1985 pag. 635 consid. 3; RAMI 1993 Nr. U 168 pag. 100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Conformemente alla succitata giurisprudenza questo Tribunale non può condividere l’operato della consulente in integrazione professionale che, per il calcolo del reddito da valido – osservato che “(…) il contratto di lavoro con l’ultimo datore di lavoro (__________ di __________) era un contratto a termine che non è stato rinnovato a causa della crisi nel settore automobilistico che ha colpito la ditta. Lo scioglimento del contratto di lavoro non è pertanto da imputare al danno della salute per cui anche senza danno alla salute l’A. avrebbe perso il posto di lavoro. Per determinare il reddito da valido si farà pertanto riferimento alle tabelle RSS (categoria 4.2, attività semplici e ripetitive) (…)” (doc. AI 21/2) – , ha applicato la tabella TA1. Dagli atti risulta che nel 2008, quale operatore di linea, l’assi-curato conseguiva un reddito lordo pari a fr. 3'618.-- per tredici mensilità (doc. AI 9/1-7) . Aggiornato lo stipendio lordo al 2009 (fr. 3'618.-- aumentati del 2.4%; cfr. tabella B 10.2, settore D attività manifatturiera, pubblicata in La Vie économique, 7/8-2010, pag. 91) e moltiplicato per 13 mensilità si ottiene un reddito da valido per il 2009 di fr. 48'162.81. 2.10.2.   Per quel che concerne il reddito da invalido, in assenza di dati salari ali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 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2.10.3. U tilizzando i dati forniti dalla succitata tabella elaborata dall'Ufficio federale di statistica, il ricorrente, svolgendo nel 2009 un’attività semplice e ripetitiva, livello di qualifica 4, avrebbe potuto realizzare un reddito annuo ipotetico da invalido pari a fr. 61’396.50 ( fr. 4'806.-- aggiornati al 2009 [4'806 x 2266 : 2219 cfr. tabella B 10.3, pubblicata in La Vie économique, 7/8-2010, pag. 91], riportati su 41.7 ore [ cfr. tabella B 9.2, pubblicata in La Vie économique, 7/8-2010, pag. 90 ], moltiplicati per 12 [ ritenuto che la quota di tredicesima è già compresa, cfr. STFA U 274/98 del 18 febbraio 1999, consid. 3a]) . Questo Tribunale constata che il salario che l’assicurato     avrebbe conseguito nel 2009 quale operatore di linea (fr. 48'162.81, cfr. consid. 2.10.1), è inferiore a quello realizzato, nello stesso anno, in media a livello svizzero dai lavoratori del settore produzione (Tabella TA1 2008, p.to 29, 34, 35, fabbricazione di macchine e mezzi di trasporto, livello di qualifica 4: fr. 5'161.-- aggiornati al 2009 [moltiplicando per la variazione percentuale del salario del 2.4%; cfr. tabella B 10.2, settore D attività manifatturiera, pubblicata in La Vie économique, 7/8-2010, pag. 91], riportati su 41.2 ore [ cfr. tabella B 9.2, pubblicata in La Vie économique, 7/8-2010, settore D attività manifatturiera pag. 90 ] moltiplicati per 12 [ ritenuto che la quota di tredicesima è già compresa, cfr. STFA U 274/98 del 18 febbraio 1999, consid. 3a = fr. 65'320.91 ). Conformemente alla giurisprudenza federale (cfr. consid. 2.10.2) e posto che dall’incarto non emergono indizi a favore del fatto che fosse intenzione dell’assicurato accontentarsi di un guadagno modesto, il reddito statistico da invalido (fr. 61’396.50 ) va ridotto del 21.27%, percentuale corrispondente al gap salariale (fr. 48'162.81 contro fr. 65'320.91 meno i primi 5 punti %), e si attesta pertanto a fr. 48'337.46 (fr. 61’396.50 ridotti dell’21.27% = fr. 48’337.46 ). Il grado d’invalidità – ritenuta la capacità lavorativa totale in un’attività adeguata rispettosa delle limitazioni funzionali poste e considerato che la consulente in integrazione non ha applicato alcuna ulteriore deduzione dal reddito ipotetico da invalido – si attesta pertanto allo 0% ([ 48'162.81 – 48'337.46 ]: 48'162.81 x 100 = 0%). È dunque a ragione che l’Ufficio AI ha negato all’assicurato sia il diritto ad una riformazione professionale (il grado d’invalidità non raggiungendo il 20%, cfr. consid. 2.4) che ad una rendita (il grado d’invalidità non essendo pensionabile cfr. consid. 2.5). Quanto ad un aiuto al collocamento (al riguardo cfr. la STF 9C_416/2009), la consulente in integrazione ha concluso che “(…) la presenza sul mercato del lavoro di attività direttamente accessibili e confacenti con il danno alla salute, induce a concludere che il signor RI 1 sia direttamente integrabile nel ciclo produttivo. Su esplicita richiesta dell’assicurato si resta a disposizione per valutare la possibilità di attivare il nostro servizio di collocamento. (…)” (doc. AI 21/4). Spetta dunque all’assicurato, che comunque dovrebbe già essere aiutato in quanto iscritto alla disoccupazione, rendersi eventualmente attivo in tale senso.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 ricorrente. La decisione impugnata va pertanto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