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32.2010.164 vom 12. Mai 2010</w:t>
      </w:r>
    </w:p>
    <w:p>
      <w:r>
        <w:t>TI Tribunale d'appello, 2010-05-12, IT</w:t>
      </w:r>
    </w:p>
    <w:p>
      <w:r>
        <w:rPr>
          <w:b/>
        </w:rPr>
        <w:t xml:space="preserve">Quelle: </w:t>
      </w:r>
      <w:r>
        <w:t>https://mcp.opencaselaw.ch/entscheid/ti_gerichte_32.2010.164</w:t>
      </w:r>
    </w:p>
    <w:p>
      <w:r>
        <w:t>FR: TI_GERICHTE 32.2010.164 du 12 mai 2010</w:t>
      </w:r>
    </w:p>
    <w:p>
      <w:r>
        <w:t>IT: TI_GERICHTE 32.2010.164 del 12 maggio 2010</w:t>
      </w:r>
    </w:p>
    <w:p>
      <w:pPr>
        <w:pStyle w:val="Heading2"/>
      </w:pPr>
      <w:r>
        <w:t>Regeste</w:t>
      </w:r>
    </w:p>
    <w:p>
      <w:r>
        <w:t>UAI ha correttamente determinato l'ammontare della rendita spettante all'assicurata</w:t>
      </w:r>
    </w:p>
    <w:p>
      <w:pPr>
        <w:pStyle w:val="Heading2"/>
      </w:pPr>
      <w:r>
        <w:t>Erwägungen</w:t>
      </w:r>
    </w:p>
    <w:p>
      <w:r>
        <w:rPr>
          <w:b/>
        </w:rPr>
        <w:t>E. 29</w:t>
      </w:r>
    </w:p>
    <w:p>
      <w:r>
        <w:t>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(marg. 5316 delle Direttive sulle rendite edite dall’UFAS [DR])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2.3.   Nel caso presente l'Ufficio AI, nella risposta di causa, ha indicato che “l’importo delle rendite di invalidità corrisponde a quello delle rendite di vecchiaia dell’AVS (art. 37 cpv. 1 LAI) e che la rendita completa minima ammonta a fr. 1'140.- mentre quella massima a fr. 2'280.- e che il calcolo effettuato per definire il diritto a prestazioni risulta essere corretto” (doc. IV). Il TCA concorda con quanto indicato dall’amministrazione, ritenuto che la rendita dell’assicurata è stata fissata sulla base di un reddito annuo medio di fr. 6'840 e di un periodo di contribuzione completo (scala 44, cfr. doc. A1). Riguardo alle osservazioni di RA 1 circa all’insufficienza dell’importo di fr. 1’140 per coprire il fabbisogno dell’interessata e, in particolare, per pagare il canone di locazione dell’appartamento, il TCA sottolinea che nel sistema di previdenza svizzero, basato sui tre pilastri, spetta all’AVS insieme alle PC garantire in maniera adeguata agli assicurati la copertura dei bisogni vitali (art. 112 cpv. 2 Cost.). Al riguardo, in una sentenza 9C_40/2010 del 6 ottobre 2010, il Tribunale federale ha ricordato che: " (…) 3.1 Le système suisse de prévoyance vieillesse, survivants et invalidité repose sur le principe des trois piliers (art. 111 Cst.).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 (…) 5.3.3.1 Le système des rentes complémentaires a été introduit lors de la création de l'assurance-invalidité. Afin de remédier « aux conséquences économiques fâcheuses de l'invalidité du chef de famille pour la femme et les enfants », le législateur avait prévu de compléter la rente principale qui lui était allouée par des rentes complémentaires pour ses proches parents. Ces rentes devaient dépendre de l'existence d'un droit à une rente principale et revenir au même ayant droit; les proches parents n'avaient pas un droit propre aux rentes complémentaires, de sorte que l'unité juridique du cas de rente était maintenue (Message du 24 octobre 1958 relatif à un projet de loi sur l'assurance-invalidité ainsi qu'à un projet de loi modifiant celle sur l'assurance-vieillesse et survivants, FF 1958 II 1225 ss, 2e partie, chapitre F, III, 2). Les rentes complémentaires devaient s'ajouter à la rente principale et constituer un revenu de substitution pour l'assuré invalide en vue de lui permettre de subvenir à l'entretien de sa famille (arrêt U 53/07 du 18 mars 2008 consid. 5.2.2.1, in SVR 2009 UV n° 7 p. 26; voir également arrêt B 25/00 du 24 septembre 2001 consid. 5b).” Pertanto, come del resto correttamente indicato dall’amministrazione in sede di risposta di causa (cfr. doc. IV), spetta all’assicurata, qualora non l’avesse ancora fatto, richiedere al competente Servizio delle prestazioni complementari della Cassa cantonale di compensazione, per il tramite della propria agenzia comunale AVS, una prestazione complementare. Poiché l’ammontare della rendita è corretto, la decisione contestata va confermata ed il ricorso respinto. 2.4.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