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32.2010.116 vom 13. April 2010</w:t>
      </w:r>
    </w:p>
    <w:p>
      <w:r>
        <w:t>TI Tribunale d'appello, 2010-04-13, IT</w:t>
      </w:r>
    </w:p>
    <w:p>
      <w:r>
        <w:rPr>
          <w:b/>
        </w:rPr>
        <w:t xml:space="preserve">Quelle: </w:t>
      </w:r>
      <w:r>
        <w:t>https://mcp.opencaselaw.ch/entscheid/ti_gerichte_32.2010.116</w:t>
      </w:r>
    </w:p>
    <w:p>
      <w:r>
        <w:t>FR: TI_GERICHTE 32.2010.116 du 13 avril 2010</w:t>
      </w:r>
    </w:p>
    <w:p>
      <w:r>
        <w:t>IT: TI_GERICHTE 32.2010.116 del 13 aprile 2010</w:t>
      </w:r>
    </w:p>
    <w:p>
      <w:pPr>
        <w:pStyle w:val="Heading2"/>
      </w:pPr>
      <w:r>
        <w:t>Regeste</w:t>
      </w:r>
    </w:p>
    <w:p>
      <w:r>
        <w:t>Decisione con la quale UAI ha rifiutato il diritto a prestazioni va annullata e atti rinviati all'UAI per effettuare degli accertamenti economici volti a stabilire,tramite confronto dei redditi,se nonostante la ripresa lavorativa l'assicurato presenta o meno un'incapacità al guadagno del 40% almeno</w:t>
      </w:r>
    </w:p>
    <w:p>
      <w:pPr>
        <w:pStyle w:val="Heading2"/>
      </w:pPr>
      <w:r>
        <w:t>Erwägungen</w:t>
      </w:r>
    </w:p>
    <w:p>
      <w:r>
        <w:rPr>
          <w:b/>
        </w:rPr>
        <w:t>E. 7</w:t>
      </w:r>
    </w:p>
    <w:p>
      <w:r>
        <w:t>aprile 2010, la dr.ssa __________ ha osservato: " AUDIZIONE Si conferma la presa di posizione contenuta nel rapporto SMR del 15.02.2010 precisando che: -   in attività abituale IL 100% dal 28.04.2009 e continua; -   in attività adeguata IL 100% dal 28.04.2009, IL 50% dal 13.06.09 (intesa come metà tempo), IL 100% dal 12.01.2009, IL 50% dal 23.03.2009 (intesa come metà tempo), IL 25% (intesa come riduzione di tempo) dal 22.06 si prolunga fino al 01.08.2009, così come attestato dal curante dell'A. Dr. __________ che ha rivisitato in seguito l'A. ma non ha mai più certificato un'IL (anche il 9 novembre 2009); -   limiti funzionali stabiliti dal Dr. __________ (chirurgo ortopedico di fiducia dell'A.) in data 19.06.2009 caricabilità limitata del ginocchio Ds: l'attività di arrampicarsi sui piloni, montare pali, sollevare e trasportare pesi superiori a 15 Kg ed arrampicarsi in montagna non risultano più esigibili. Il Dr. __________ precisa che questi limiti sono validi per almeno un anno. La possibilità di aumento del carico del ginocchio Ds dipenderà dal decorso futuro. D'altro canto anche il DL nella sua comunicazione precisa che tali attività non sono previste dall'attuale mansione ricoperta dall'A." (Doc. 30-1)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pubblicata in DTF 123 V 175, il Tribunale federale ha rilevato che, con l’entrata in vigore, il 1° giugno 1994, del nuovo statuto, è stato ancorato il concetto di indipendenza e di imparzialità dei periti dei centri medici d'accertamento dell'AI, che già esisteva in precedenza. Questa giurisprudenza è poi stata confermata in una sentenza pubblicata in DTF 132 V 376, nella quale l’Alta Corte ha deciso che i diritti di partecipazione conferiti dall'art. 44 LPGA devono essere osservati anche quando una perizia è affidata ad un centro d'accertamento medico (SAM). Occorre ancora evidenziare che il TFA, in una sentenza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9C_323/2009 del 14 luglio 2009, il Tribunale federale ha sottolineato che un rapporto del SMR ha lo stesso valore di una perizia amministrativa, anche se è stato redatto senza avere visitato personalmente l’assicurato.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Nella concreta fattispecie, chiamato a verificare se lo stato di salute del ricorrente è stato accuratamente vagliato dall’amministrazione prima dell’emissione della decisione impugnata, questo Tribunale, dopo attenta analisi della documentazione medica agli atti, deve concludere che non vi è motivo per distanziarsi dalla valutazione del SMR, sulla quale si fonda la decisione di rifiuto delle prestazioni. Nel rapporto medico del 15 febbraio 2010, la dr.ssa __________ del SMR – sulla base di quanto attestato dall’ortopedico curante dell’assicurato, dr. __________ - ha infatti ritenuto l’assicurato, a causa delle sue patologie, totalmente inabile al lavoro, a partire dal 28 aprile 2008, nella sua precedente attività di operatore di misure ad alta frequenza, ma abile al lavoro al 100%, a partire dal 1° agosto 2009, in attività adeguate, rispettose dei suoi limiti funzionali (doc. 26-2). La dr.ssa __________, nelle sue annotazioni del 7 aprile 2010, ha poi ribadito che l’assicurato è inabile al lavoro al 100%, dal 28 aprile 2008, nella sua precedente attività di operatore di misure ad alta frequenza, ma è da considerare pienamente abile al lavoro, a partire dal 1° agosto 2009, in attività adeguate, rispettose dei limiti funzionali indicati dall’ortopedico curante, dr. __________ (doc. 30-1). Il TCA non può che concordare con queste conclusioni del medico del SMR. Va infatti rilevato che, dopo avere elencato nel certificato medico del 19 giugno 2009, i limiti funzionali dell’assicurato (doc. 22-14), il dr. __________ nello scritto del 16 novembre 2009 concernente la visita di controllo del 9 novembre 2009, ha indicato che l’assicurato è inabile al lavoro nella misura dello 0%, in attività rispettose dei suoi limiti funzionali (cfr. 22-10). Lo specialista curante ha sottolineato che, sebbene l’assicurato abbia ripreso a lavorare al 100%, egli non possa più svolgere determinate mansioni, a causa dei suoi limiti funzionali (doc. 22-9). Come correttamente indicato nelle annotazioni del 7 aprile 2010 dalla dr.ssa __________ del SMR (cfr. doc. 30-1), inoltre, il dr. __________, dopo avere stabilito, nel certificato d’infortunio LAINF, una percentuale di incapacità lavorativa dello 0% a partire dal 1° agosto 2009 (doc. 51-1 inc. LAINF), ha ribadito la propria valutazione anche dopo le visite del 16 settembre 2009 e del 26 ottobre 2009 (cfr. doc. 22-15). Il TCA concorda con queste valutazioni, che non sono del resto state smentite da certificati medico-specialistici attestanti delle patologie maggiormente invalidanti, in grado di influire maggiormente sulla capacità lavorativa residua dell’interessato.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2.7. Essendo quindi esigibile che l’assicurato sfrutti la sua residua capacità lavorativa, del 100%, in attività adeguate, rispettose dei suoi limiti funzionali, ricordato inoltre che l'invalidità nell'ambito delle assicurazioni sociali svizzere è un concetto di carattere economico‑giuridico e non medico (DTF 116 V 249 consid. 1b, 110 V 275 consid. 4a) , occorre esaminare le conseguenze del danno alla salute dal profilo economico. Al riguardo, il TCA rileva che l’UAI ha semplicemente considerato che l’assicurato, avendo ripreso la propria attività presso il precedente datore di lavoro nella misura del 100% a partire dal 1° agosto 2009, non ha diritto ad una rendita. Il TCA non può concordare con la soluzione adottata dall’amministrazione. L’UAI avrebbe infatti dovuto verificare tramite confronto dei redditi se, nonostante la ripresa dell’attività lavorativa, l’assicurato presentava o meno un’incapacità al guadagno del 40% almeno, secondo i disposti dell’art. 28 LAI (cfr. STF 9C_1013/2009 del 12 luglio 2010). Ciò che nella fattispecie non è avvenuto. In concreto, è vero che il ricorrente è stato ritenuto dal dr. __________ abile al lavoro al 100% a partire dal 1° agosto 2009, ma unicamente in attività adeguate, rispettose dei suoi limiti funzionali (cfr. doc. 22-9). È altrettanto vero che l’assicurato, a partire dall’11 agosto 2009, ha ripreso a lavorare nella misura del 100% presso l’Ufficio __________, come confermato dallo stesso datore di lavoro (doc. 28-1). Il TCA deve, tuttavia, sottolineare che il precedente posto di lavoro dell’assicurato, attivo in qualità di operatore di misure ad alta frequenza, non rientra nel novero delle attività adeguate, rispettose dei limiti funzionali dell’assicurato. A tale riguardo, lo stesso dr. __________ ha rilevato quanto segue: " (…) Verlauf : Herr RI 1 stellt sich mir Befundkontrolle und Besprechung des weiteren Vorgehens vor. Seit der Knorpeltransplantation sind nun 10 Monate vergangen. Der Patient arbeitet offiziell zu 100%. Dies ist aber nur durch Anpassungen am Arbeitsplatz umsetzbar. Auch die zu seinem Arbeitsfeld gehörenden Klettereinsätze werden nicht mehr durchgeführt. Auch das Heben und Tragen von Lasten ist ohne Einschränkungen im rechten Kniegelenk nicht mehr möglich. So kommt es doch immer wieder zu Schwellungen und belastungsabhängigen Beschwerden gegen Ende eines vollen Arbeitstages. Auch sportliche wie vorrangig möglich können nicht bis zum heutigen Zeitpunkt nicht mehr umgesetzt werden. (…)" (Doc. 22-9) Lo stesso datore di lavoro dell’assicurato, poi, rispo ndendo all’UAI, ha indicato che l’assicurato non può più arrampicarsi sui piloni; montare pali; trasportare pesi superiori a 15-20 kg e che “la percentuale di attività è del 40%-50% della descrizione del posto di lavoro” (doc. 28-1). Alla luce delle limitazioni funzionali dell’assicurato, incompatibili con la ripresa della sua precedente attività, il TCA deve concludere che l’assicurato ha ricominciato a lavorare presso il precedente datore di lavoro, ma occupandosi di altre mansioni. L’amministrazione, in sede di risposta di causa, ha osservato che l’interessato “ha potuto riprendere la sua attività presso l’__________ al 100% e non subisce alcun discapito economico” (doc. IV); nelle osservazioni del 13 luglio 2010, l’UAI ha poi ribadito che l’assicurato non subisce alcun discapito economico (doc. VIII). L’amministrazione è giunta a tali conclusioni senza tuttavia appurare se il salario percepito dall’interessato per lo svolgimento della sua attuale attività costituisca o meno un salario sociale (cfr. consid. 2.3.). Del resto, la stessa amministrazione ha qualificato di “parziali” le risposte del datore di lavoro (cfr. doc. 29-1) . Anziché decidere avrebbe dovuto approfondire la questione (cfr. art. 43 LPGA) ed ottenere una risposta totale e completa dal datore di lavoro. Alla luce di queste considerazioni, si giustifica, pertanto, a mente del TCA, l’annullamento della decisione impugnata e il rinvio degli atti all’Ufficio AI, affinché stabilisca il grado di invalidità dopo avere correttamente determinato il reddito da invalido. 2.8.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dunque annullata e l'incarto retrocesso all'amministrazione, affinché proceda agli accertamenti economici indicati. Quindi, in esito a tale complemento istruttorio, l’amministrazione si determinerà nuovamente sul diritto alla rendita dell’assicurato.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Vincente in causa, il ricorrente, patrocinato dall’avv. __________, ha diritto ad un'indennità per ripetibili (cfr. STF K 63/06 del 5 settembre 2007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