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32.2009.54 vom 4. Februar 2009</w:t>
      </w:r>
    </w:p>
    <w:p>
      <w:r>
        <w:t>TI Tribunale d'appello, 2009-02-04, IT</w:t>
      </w:r>
    </w:p>
    <w:p>
      <w:r>
        <w:rPr>
          <w:b/>
        </w:rPr>
        <w:t xml:space="preserve">Quelle: </w:t>
      </w:r>
      <w:r>
        <w:t>https://mcp.opencaselaw.ch/entscheid/ti_gerichte_32.2009.54</w:t>
      </w:r>
    </w:p>
    <w:p>
      <w:r>
        <w:t>FR: TI_GERICHTE 32.2009.54 du 4 février 2009</w:t>
      </w:r>
    </w:p>
    <w:p>
      <w:r>
        <w:t>IT: TI_GERICHTE 32.2009.54 del 4 febbraio 2009</w:t>
      </w:r>
    </w:p>
    <w:p>
      <w:pPr>
        <w:pStyle w:val="Heading2"/>
      </w:pPr>
      <w:r>
        <w:t>Regeste</w:t>
      </w:r>
    </w:p>
    <w:p>
      <w:r>
        <w:t>Viste le risultanze del rapporto dei medici SMR: miglioramento dello stato valetudinario e capacità lavorativa del 100% quale cameriere, a ragione l'Ufficio AI ha soppresso il diritto alla rendita in via di revisione</w:t>
      </w:r>
    </w:p>
    <w:p>
      <w:pPr>
        <w:pStyle w:val="Heading2"/>
      </w:pPr>
      <w:r>
        <w:t>Erwägungen</w:t>
      </w:r>
    </w:p>
    <w:p>
      <w:r>
        <w:rPr>
          <w:b/>
        </w:rPr>
        <w:t>E. 5</w:t>
      </w:r>
    </w:p>
    <w:p>
      <w:r>
        <w:t>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2.8.   Nell’evenienza concreta, richiamata la suesposta giurisprudenza in materia di valore probatorio di rapporti medici, questo Tribunale non intravede ragioni che gli impediscano di far proprie le conclusioni cui sono giunti i medici SMR, dr. __________ e dr.ssa __________, i quali – valutate compiutamente le differenti affezioni dell’assicurato – hanno concluso per un miglioramento dello stato valetudinario e una capacità lavorativa del 100% quale cameriere, ritenuta tale attività rispettosa dei limiti funzionali posti. Questo Tribunale rileva che il dr. __________, FMH in reumatologia e medicina interna – dopo aver certificato, nel rapporto medico 8 febbraio 1999 (doc. AI 34/1-3), un peggioramento dello stato di salute: “(…) dall’autunno 1998 netto peggioramento della sintomatologia lombare, aggravata dal colpo di tosse e dallo starnuto con irradiazione in direzione craniale ma non agli arti inferiori. La sintomatologia non gli ha permesso di continuare con l’impiego di cameriere. (…)” (doc. AI 34/2) e, nella lettera 19 novembre 2001, attestato che “(…) dal punto di vista clinico persiste una sindrome lombo-vertebrale con manovra di Laségue positiva a 45° ed una paresi degli estensori dell’alluce e delle dita del piede sx piuttosto rilevante. (…)” (doc. AI 81/1, la sottolineatura è del redattore) – , nel rapporto di decorso 26 aprile 2005, attestato uno stato di salute stazionario e confermate le diagnosi poste, si è così espresso: “(…) decorso fluttuante, complessivamente stabile. Ha sviluppato grossa sind. depressiva dopo morte del figlio. (…)” (doc. AI 100/1). Lo stesso sanitario, con scritto 3 dicembre 2008 ha comunicato all’Ufficio AI che ha “(…) rivisto il paz. a margine in data 01.12.2008. La situazione clinica e generale del paz. mi sembra per nulla cambiata rispetto agli anni precedenti. Il signor RI 1 mi ha tuttavia riferito che gli è stata tolta la sua rendita d’invalidità. Personalmente non riesco a capirne i motivi. In ogni caso ritengo che una tale decisione sia, se del caso, da subordinare ad una perizia specialistica. (…)” (doc. AI 142/2). Quanto alla patologia extra somatica, la dr.ssa __________ e il dr. __________, nel rapporto medico 28 aprile 2008 (doc. AI 135/1-6), hanno concluso che “(…) nel colloquio attuale non emergono segni e sintomi psichiatrici che permettano di porre una diagnosi di asse I o di asse II secondo la classificazione del DSM-IV TR. Nel 2004 invece l’A. ha presentato un quadro depressivo reattivo alla morte del figlio che dalle informazioni raccolte è inquadrabile in un episodio depressivo di grado lieve, completamente risoltosi. […] A livello psichiatrico non si riscontrano patologie che possano influire sulla CL né su eventuali provvedimenti professionali; ha mostrato una buona volontà a riprendere un’attività lavorativa. A livello sociale mantiene una buona integrazione. (…)” (doc. AI 135/6). Il dr. __________, nelle annotazioni 10 dicembre 2008, si è poi così espresso: “(…) certificato medico Dr. __________ del 07.09.2001 certifica lasegue positivo 45° sinistra e paresi estensori dell’alluce e delle dita del piede sinistro. Nella mia valutazione clinica Lasegue e SRL test negativo. Riferita ipoestesia margine laterale piede sinistro, nessuna paresi identificata. Certificato Dr. __________ del 25.02.2005: decorso fluttuante, stabile, s. depressiva per la morte del figlio. Dalle certificazioni mediche risulta quindi un miglioramento clinico dal 2001 ad oggi vista la negatività della manovra Lasegue e l’assenza di paresi dell’estensore dell’alluce. Il miglioramento clinico risulta essere progressivo negli anni e completamente stabile dal 2005 dopo episodio depressivo che ha influito negativamente anche il percorso riabilitativo. […] Il certificato del Dr. __________ con data 03.12.2008 non descrive nuovi eventi clinici o un’obiettività favorevole alla stazionarietà clinica dell’A. (…)” (doc. AI 144/1, la sottolineatura è del redattore). Riguardo all’attività lavorativa, anche se il dr. __________ nel rapporto sulla revisione delle prestazioni per adulti 7 dicembre 2007 (doc. AI 131/3-4 e 131/11-14) ha, in particolare, confermato un’inabilità lavorativa del 100% nella sua attività dal 22 ottobre 1998 in avanti (cfr. doc. AI 131/4, punto 4), dagli atti risulta che l’assicurato ha lavorato quale aiuto dello chef presso una pizzeria dal giugno al settembre 2007 (doc. AI 131/5-9) e, al riguardo, nel rapporto medico 28 aprile 2008 si legge che “(…) l’A. inoltre ha provato a riprendere un’attivi-tà lavorativa temporanea sempre nell’ambito della ristorazione e nel 2007 è stato assunto da un conoscente nel suo ristorante-pizzeria con un contratto di tre mesi. Dall’aprile di quest’anno è ritornato nuovamente nello stesso ristorante con un contratto ancora trimestrale che potrebbe essere prolungato di altri due mesi (…)” (doc. AI 135/6). Viste le risultanze appena esposte, questo Tribunale deve fare proprie le valutazioni dei medici SMR, dr.ssa __________ e dr. __________, in base alle quali essi hanno concluso per una capacità lavorativa del 100% quale cameriere ritenuta tale attività rispettosa dei limiti funzionali posti. Questo vale a maggior ragione se si pone mente al fatto che il dr. __________, sul rapporto di decorso 4 ottobre 2007, ha precisato che “(…) non vedo più il paz. da più di 2 ½ anni (…)” (doc. AI 127/1). Lo stesso sanitario, nello scritto 3 dicembre 2008 indirizzato all’Ufficio AI (doc. AI 142/2), non si è poi espresso sulla capacità lavorativa limitandosi a precisare, in modo del tutto generico e ipotetico, che la situazione clinica e generale “(…) mi sembra per nulla cambiata rispetto agli anni precedenti (…)” e che la decisione di sopprimere la rendita sarebbe “(…) se del caso, da subordinare ad una perizia specialistica. (…)” (doc. AI 142/2, sottolineatura del redattore). Il dr. __________, anche nello scritto 20 febbraio 2009 indirizzato all’avv. RA 1, osservato che in questi ultimi anni il paziente lo ha consultato a due riprese il 22 aprile 2008 e l’11 febbraio 2009, non si è espresso sulla capacità lavorativa e ha concluso ancora una volta in modo del tutto generico e possibilistico che “(…) la situazione del paz. mi sembrava dunque in tutto e per tutto sovrapponibile a quelli degli anni precedenti, seppure la mia osservazione si basa su delle visite puntuali ed effettivamente molto rare e non su un decorso regolare. (…)” (doc. AI 149/15, sottolineatura del redattore). Al riguardo il dr. __________, medico SMR, nelle annotazioni 9 marzo 2009 ha concluso che “(…) l’attuale rapporto medico del dr. __________ non mostra una sostanziale modifica dello stato di salute rispetto alla valutazione SMR, valutazione che aveva pure compreso una visita psichiatrica. Si conferma che la situazione riscontrata in sede SMR è sostanzialmente differente da quella descritta dal dr. __________ in occasione della visita del 4.9.2001 (vedi rapporto dr. __________, data __________ del 12.2.2001), dove vi era una manovra Laségue positiva a 45° ed una paresi degli estensori dell’alluce e delle dita del piede sinistro piuttosto rilevante. (…)” (V/1). Del resto, pur avendo la possibilità di notificare eventuali altri mezzi di prova e invitato a presentare osservazioni scritte alle annotazioni 9 marzo 2009 (VI), l’avv. RA 1 è rimasto silente.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Pertanto –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469 consid. 4a; 122 III 223 consid. 3; 119 V 344 consid. 3c con riferimenti). Un tale modo di procedere non lede il diritto di essere sentito conformemente all'art. 29 cpv. 2 Cost. (DTF 124 V 94 consid. 4b, 122 V 162 consid. 1d, 119 V 344 consid. 3c con riferimenti) – questo Tribunale ritiene che, senza che sia necessario procedere agli ulteriori accertamenti medici richiesti, la valutazione medica va confermata. 2.9. In queste condizioni – constatato che l’insorgente va ritenuto abile al lavoro al 100% nella sua attività di cameriere e considerato che anche il consulente in integrazione professionale nel rapporto 3 febbraio 2009 ha concluso che “(…) in considerazione delle limitazioni mediche definite dal dr. __________ per l’SMR nella sua visita del 28 aprile u.s. l’attività di cameriere risulta esigibile. Il poter mantenere una posizione statica per massimo 2 ore può causare la necessità di dover effettuare qualche pausa supplementare durante l’arco dell’intera giornata. Da notare però che la possibile diminuzione di rendimento sarebbe leggera e non sufficiente a giustificare una riduzione sostanziale del salario. (…)” (doc. AI 147/1) – si deve concludere che essendo il grado d’invalidità inferiore al 40% a ragione l’Ufficio AI ha soppresso il diritto alla rendita intera con effetto dal 1. aprile 2009 (cfr. consid. 2.5 e riguardo all’applicazione del confronto percentuale la sentenza 9C_294/2008 del 19 marzo 2009 nella quale il TF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2.10. In simili circostanze, visto tutto quanto precede, la decisione impugnata va dunque confermata e il ricorso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200.-- sono poste a carico del ricorrente. 2.12.   Con istanza 20 febbraio 2009 (doc. AI 149/3) l’avv. RA 1 ha chiesto di porre il suo assistito al beneficio dell'assistenza giudiziaria e del gratuito patrocinio, precisando che il certificato municipale e annessi sarebbero seguiti.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specie, la domanda d'assistenza giudiziaria presentata dal ricorrente deve essere respinta, nessuna documentazione attestante il suo stato d'indigenza essendo mai stata (malgrado l’esplicita richiesta del 12 marzo 2009 con l’avvertenza che in difetto della stessa il Tribunale si pronuncerà in base agli atti in suo possesso [VII]) trasmessa al TCA e lo stato di bisogno non risultando dagli 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