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32.2009.222 vom 5. November 2009</w:t>
      </w:r>
    </w:p>
    <w:p>
      <w:r>
        <w:t>TI Tribunale d'appello, 2009-11-05, IT</w:t>
      </w:r>
    </w:p>
    <w:p>
      <w:r>
        <w:rPr>
          <w:b/>
        </w:rPr>
        <w:t xml:space="preserve">Quelle: </w:t>
      </w:r>
      <w:r>
        <w:t>https://mcp.opencaselaw.ch/entscheid/ti_gerichte_32.2009.222</w:t>
      </w:r>
    </w:p>
    <w:p>
      <w:r>
        <w:t>FR: TI_GERICHTE 32.2009.222 du 5 novembre 2009</w:t>
      </w:r>
    </w:p>
    <w:p>
      <w:r>
        <w:t>IT: TI_GERICHTE 32.2009.222 del 5 novembre 2009</w:t>
      </w:r>
    </w:p>
    <w:p>
      <w:pPr>
        <w:pStyle w:val="Heading2"/>
      </w:pPr>
      <w:r>
        <w:t>Regeste</w:t>
      </w:r>
    </w:p>
    <w:p>
      <w:r>
        <w:t>Diniego di prestazioni. Conferma delle perizie mediche (psichiatrica e reumatologica) e della valutazione economica in corretta applicazione del metodo misto</w:t>
      </w:r>
    </w:p>
    <w:p>
      <w:pPr>
        <w:pStyle w:val="Heading2"/>
      </w:pPr>
      <w:r>
        <w:t>Erwägungen</w:t>
      </w:r>
    </w:p>
    <w:p>
      <w:r>
        <w:rPr>
          <w:b/>
        </w:rPr>
        <w:t>E. 4</w:t>
      </w:r>
    </w:p>
    <w:p>
      <w:r>
        <w:t>ore al giorno. 2.5 E' presente inoltre una diminuzione della capacità di lavoro? No. 2.6 Se sì, in che misura? 2.7 Da quando esiste una limitazione della capacità di lavoro dal lato medico di. almeno il 20%? Del 50 % almeno dal dicembre 2005. a.                                               Quale è stato in seguito lo sviluppo della limitazione della capacità di lavoro? Personalmente riterrei il 50 % da allora. C-    Conseguenze sulla capacità d'integrazione 1-   E possibile effettuare provvedimenti d'integrazione? Ve ne sono in corso? Ne sono previsti? No. 1.1 Se sì, la preghiamo di descrivere il piano di riabilitazione 1.2 Se no preghiamo di motivare Dal punto di vista reumatologico non esistono provvedimenti che possano migliorare la capacità lavorativa. 2-   E possibile migliorare la capacità di lavoro sul posto di lavoro attuale? No. 2.1 se sì con quali ragionevoli provvedimenti (p. es. provvedimenti medici, mezzi ausiliari, adattamento del posto di lavoro)? a.     Secondo lei che effetti hanno questi provvedimenti sulla capacità di lavoro? 3-   L'assicurato è in grado di svolgere altre attività? Sì. 3.1 Se sì, a quali esigenze deve rispondere il posto di lavoro dal punto di vista medico e di che cosa bisogna tenere soprattutto conto nel caso di un'altra attività? Dal punto di vista puramente reumatologico in un'attività leggera, dove non debba sollevare ripetutamente pesi superiori ai 10 kg, dove può cambiare regolarmente postura, dove non debba lavorare in anteflessione o effettuare ripetute rotazioni del tronco, la paziente è abile in misura dell' 80 %. 3.2 In che misura si possono svolgere attività consone alle menomazioni (ore al giorno)?</w:t>
      </w:r>
    </w:p>
    <w:p>
      <w:r>
        <w:rPr>
          <w:b/>
        </w:rPr>
        <w:t>E. 8</w:t>
      </w:r>
    </w:p>
    <w:p>
      <w:r>
        <w:t>ore al giorno, è presente una riduzione della capacità di lavoro su 8 ore del 20%. 3.3 E presente inoltre una riduzione della capacità di lavoro? Sì. 3.4 Se sì in che misura? Del 20 %. 3.5 Qualora non siano possibili altre attività: per quali motivi? Osservazioni altre domande L'inabilità lavorativa da me attestata è puramente reumatologica, personalmente mi sembra che però il problema maggiore sia a livello psichiatrico. Questa mia visione è d'altronde confermata dai medici curanti, in particolare dopo la degenza della Clinica d'__________, ed anche nel rapporto del dr. __________. (…)" (doc. AI 44/10-12) Il dr. __________, direttore del __________ e FMH in psichiatria e psicoterapia, nella perizia 15 gennaio 2009 (doc. AI 49/1-11) – posta la seguente diagnosi con ripercussioni sulla capacità lavorativa: “(…) sindrome mista ansioso depressiva (F41.2) – s indrome somatoforme da dolore persistente (F45.4) (…)” (doc. AI 49/7) e dopo aver esposto dettagliatamente e ampiamente le ragioni per le quali, pur ponendo la medesima diagnosi dello psichiatra curante, esprime un giudizio di minore gravità rispetto alla condizione depressiva – ha espresso la seguente valutazione: " (…) B.    CONSEGUENZE SULLA CAPACITÀ DI LAVORO 1.     Capacità di lavoro nell'attività attuale o da ultimo svolta Riassumendo quanto sopra. Non siamo in presenza di un quadro di comorbidità tra disturbo somatoforme e altra patologia psichiatrica maggiore. La depressione in senso stretto, clinicamente parlando, non è grave, spiegandosi molti sintomi con il quadro tipico del disturbo somatoforme. Il conflitto intrapsichico sottostante non sembra ancora cristallizzato, perché fino ad ora I'A é rimasta in una situazione che garantisce vantaggi secondari. Ha il beneficio del nuovo ruolo di malata, che le consente di non fare più la donna delle pulizie e di vincolare a sè i famigliari. Sul piano emotivo ottiene supporto, aiuto e delega tutte le responsabilità. Sul piano economico ha fatto domanda di invalidità dopo un anno di malattia e spera di essere indennizzata, anche per compensare ciò che l'assicurazione malattia non le ha riconosciuto. Quindi, prima di parlare di stato psichico cristallizzato, ritengo si debba avere la possibilità di vedere come evolverà il caso, dopo che l'A avrà definitivamente abbandonato la prospettiva di risarcimento tramite una rendita e dopo aver fatto un intervento psicoeducativo sui famigliari. Le cure psichiatriche finora effettuate sono state adeguate e vanno continuate, ma durano da poco tempo (da fine gennaio 2008). Per questo non si può parlare di uno stato psichico invariato, che dura da molti anni, senza cambiamenti nonostante le cure specialistiche. Non mi sembra che vi sia neppure una grave comorbidità di tipo somatico, come apprendo leggendo la perizia del reumatologo ed i rapporti medici agli atti. L'unico aspetto che risulta evidente e significativo é l'imponente ritiro sociale, con abbandono degli interessi e delle frequentazioni extra familiari. Ad ogni modo, se opportunamente stimolata, la signora riesce ad andare a frequentare il centro diurno e si può far leva sull'alleanza dei famigliari per superare l'evitamento dei rapporti sociali. Solo per quest'ultimo problema riconosco un'inabilità globale al 20% per motivi prettamente psichiatrici, nell'ultimo lavoro svolto ed in ogni altra attività lucrativa. 2.     Periodi di Inabilità lavorativa accertabili Questa inabilità per ragioni psichiatriche va considerata dall'esordio della malattia somatoforme fino ad oggi e continua. 3.     Capacità di lavoro come casalinga Non vedo limiti effettivi per ragioni psichiatriche come casalinga. Il comportamento delegante, passivo e ricattatorio della signora verso i suoi famigliari va contrastato e non rappresenta un fattore pertinente per riconoscere qualsivoglia invalidità come casalinga. Nei lavori di casa é abile al 100%, senza limiti per cause psichiche. C.    CONSEGUENZE SULLA CAPACITA' D'INTEGRAZIONE 1.     Indicazioni mediche per interventi di integrazione Non entrano in considerazione. Essendo ancora legata alla prospettiva di riconoscimento e di rendita, la signora boicotterebbe qualsiasi intervento di integrazione. 2.     Possibilità di migliorare la capacità di lavoro sul posto dl lavoro attuale Non vi é un datore di lavoro 3.     Capacità di lavoro per altre attività Il limite del 20%, dovuto alla difficoltà a relazionarsi in un eventuale posto di lavoro ed alle tendenze regressive, riguarda genericamente qualsiasi attività adeguata per formazione e condizioni di salute somatica. D.    OSSERVAZIONI Trattandosi di un limite che riguarda il medesimo problema evidenziato dal reumatologo, non ritengo cumulabile l'inabilità psichiatrica a quella reumatologica. (…)" (doc. AI 49/9-10) Il dr. __________, nel rapporto medico 19 gennaio 2009 (doc. AI 53/1-3), viste le risultanze peritali, ha poi concluso per una capacità lavorativa del 50% nella sua attività abituale e dell’80% in un’attività adeguata dal dicembre 2005.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122 V 160 consid. 1c; Meyer-Blaser, Die Rechtspflege in der Sozialversicherung, BJM 1989 pag. 31; Pratique VSI 3/1997 pag. 123),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SVR 1998 IV Nr. 1 pag. 2; SZS 1988 pagg. 329 e 332; ZAK 1986 pag. 189; Locher, Grundriss des Sozialversicherungsrechts, Berna 2003, pag. 453).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I 938/05 del 24 agosto 2006,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In una sentenza del 14 luglio 2009, (9C_323/2009), pubblicata in SVR 2009 IV Nr. 56, pag. 174, il TF, richiamati l’art. 59 cpv. 2 bis LAI che regola i servizi medici regionali e l’art. 49 OAI che stabilisce i compiti, ha sottolineato che un rapporto del SMR ha lo stesso valore di una perizia amministrativa, anche se è stato redatto senza aver visitato personalmente l’assicurato.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Nell’evenienza concreta, richiamata la suesposta giurispru-denza in materia di valore probatorio di rapporti medici, questo Tribunale non intravede ragioni che gli impediscano di far proprie le conclusioni cui sono giunti il dr. __________ e il dr. __________, nelle rispettive perizie (reumatologica) del 12 novembre 2008 e (psichiatrica) del 15 gennaio 2009. I periti hanno compiutamente valutato le differenti affezioni di cui l’assicurata è portatrice giungendo ad una conclusione logica e priva di contraddizioni in merito alla sua capacità lavorativa del 50% nella sua ultima attività esercitata di ausiliaria di pulizia e dell’80% in un’altra attività adeguata dal dicembre 2005. Per le medesime ragioni questo Tribunale deve fare proprie anche le conclusioni del dr. __________ che – nel rapporto 19 gennaio 2009 (doc. AI 53/1-3), viste le risultanze delle perizie – ha ritenuto un’incapacità lavorativa del 50% nella sua attività abituale e del 20% in un’attività adeguata dal dicembre 2005. Le dettagliate ed approfondite valutazione peritali e le conclusioni del medico SMR non sono state del resto validamente smentite da altri certificati da parte di medici specialisti attestanti nuove patologie. In particolare il dr. __________, FMH in psichiatria e psicoterapia e vice primario della Clinica __________ – al quale sono state trasmesse le perizie del dr. __________ e del dr. __________ (doc. AI 46/1 e 50/1) – non ha contestato le valutazioni mediche sopra enunciate e nemmeno si è espresso in merito alle dettagliate e esaurienti ragioni per le quali il dr. __________ ha espresso un giudizio di minore gravità rispetto alla condizione depressiva (vedi il punto 6 della perizia 15 gennaio 2009 del __________ sub doc. AI 49/7-9). Inoltre, nel certificato 4 dicembre 2009 – precisando che “(…) nelle scorse settimane, in seguito alla comunicazione del parere negativo da parte dell’Ufficio dell’invalidità rispetto al riconoscimento di una rendita, la paziente ha presentato un forte peggioramento dello stato depressivo con insonnia, ruminazioni a stampo persecutorio ed ideazione suicidale. E’ stata tentata una cura ambulatoriale con potenziamento della terapia neurolettica con Seroquel ma l’acuirsi delle tematiche anticonservative hanno suggerito un approccio residenziale. Per tale motivo è stato necessario un nuovo ricovero della paziente presso la Clinica __________ dal 30.11.2009 dove la stessa è a tutt’ora ricoverata. (…)” (doc. AI 60/11) – , il dr. __________ ha attestato un peggioramento della situazione valetudinaria successivo alla decisione impugnata. La data di emanazione della decisione impugnata (in casu, il 5 novembre 2009) segna il limite temporale del potere cognitivo del giudice delle assicurazioni sociali (DTF 130 V 140 e 129 V 4). Secondo costante giurisprudenza federale,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(fra le tante cfr. DTF 121 V 366 consid. 1b, 116 V 248 consid. 1a, 112 V 93 consid. 3, 99 V 102). Al riguardo il dr. __________ e la dr.ssa __________, nelle annotazioni 18 gennaio 2010, hanno in ogni caso concluso che “(…) il peggioramento del quadro clinico che non ha portato a porre una diagnosi diversa da quelle già definite in precedenza ha comportato un ricovero presso la clinica __________ dal 30.11.2009 per la comparsa di idee anticonservative, elementi clinici che già erano evidenziati e approfonditamente argomentati in corso di perizia. In conclusione la documentazione in esame non modifica le conclusioni a cui si era giunti in precedenza. (…)” (IV/Bis). Quanto ai certificati medici 1. febbraio 2010 firmato dal dr. __________ e dal dr. __________, medico assistente presso la Clinica __________, e 2 febbraio 2010 del dr. __________ (doc. B1 e B2 che attestano il decorso e l’attuale degenza presso la Clinica __________), il dr. __________ e la dr.ssa __________, nelle annotazioni 15 febbraio 2010, hanno espresso la seguente valutazione: “(…) • dall’attuale documentazioni risultano invariate le diagnosi rispetto alle valutazioni precedenti • si conferma valutazione espressa nella nota 18.1.2010 • attuale degenza posteriore decisione impugnata (…)” (VIII/1). Per quanto riguarda invece al certificato 17 marzo 2010 – nel quale il dr. __________ e il dr. __________ hanno attestato che “(…) la sintomatologia presentata dalla Signora RI 1 sebbene aggravatasi negli ultimi mesi con un peggioramento dell’apatia associata a ritiro sociale, irritabilità ed insonnia; era già esistente durante il precedente ricovero dal 28.03.2008 al 30.05.2008 e non è mai cessata. (…)” (X/Bis) – questo Tribunale rileva che la situazione presente al momento del primo ricovero dal 28.03.2008 al 30.05.2008 era ben conosciuta ad entrambi i periti, dr. __________ e dr. __________, che l’hanno debitamente tenuta in considerazione nelle loro valutazioni. In particolare, lo si ribadisce, il dr. __________ ha fornito dettagliate ed esaurienti ragioni per le quali ha espresso un giudizio di minore gravità rispetto alla condizione depressiva (vedi il punto 6 della perizia 15 gennaio 2009 del __________ sub doc. AI 49/7-9) e il dr. __________ (pur avendone avuta la possibilità visto che la perizia 15 gennaio 2009 del __________ gli è stata trasmessa il giorno successivo; doc. AI 50/1) non ha osservato nulla al riguardo. Visto quanto precede, sulla base delle affidabili e concludenti valutazioni mediche sopra enunciate, è da ritenere dimostrato che l’assicurata, dal dicembre 2005 fino almeno al 5 novembre 2009 (data della decisione impugnata), è abile al lavoro nella misura del 50% nella sua attività abituale e dell’80% in un’altra attività adeguata.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 domanda volta all’allestimento di una perizia giudiziaria va pertanto disattesa.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Va qui fatto presente all’assicurata che in caso di peggioramento rilevante delle condizioni di salute, debitamente comprovato da pertinente documentazione medica, ella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2.13.   Per quel che concerne la valutazione della capacità dell’assi-curata quale casalinga, l’Ufficio AI ha fatto esperire un’inchie-sta economica per le persone che si occupano dell’economia domestica (doc. AI 55/1-7). Questo Tribunale rileva che, sulla base degli accertamenti fatti presso il domicilio dell’assicurata, dopo aver fissato gli impedimenti di ogni singola mansione casalinga, l'assistente sociale ha stabilito una limitazione complessiva del 24% (doc. AI 55/7). Valutando i singoli impedimenti, con motivazioni pertinenti, la responsabile ha tenuto conto delle dichiarazioni dell’assicura-ta in merito alle limitazioni ad eseguire talune mansioni domestiche. Questo Tribunale – considerato che l’insorgente non ha formulato alcuna contestazione e ricordato che in linea di massima e senza valide ragioni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 ritiene che alla valutazione dell’assistente sociale vada prestata piena adesione, ritenuto in particolare come essa abbia compiutamente valutato le difficoltà e l’esigibilità di ogni singola mansione. Va inoltre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(DTF 130 V 97, STF I 126/07 del 6 agosto 2007) è del resto anche la presa in considerazione della ripartizione dei compiti all’interno della famiglia e quindi della collaborazione fornita nella gestione dell’econo-mia domestica da parte dei familiari. 2.14.   Essendo quindi esigibile che l’assicurata sfrutti la sua residua capacità lavorativa dell’80% in un’attività adeguata, ricordato inoltre che l'invalidità nell'ambito delle assicurazioni sociali svizzere è un concetto di carattere economico-giuridico e non medico (DTF 116 V 249 consid. 1b, 110 V 275 consid. 4a) , occorre esaminare le conseguenze del danno alla salute dal profilo economico. 2.14.1.   Secondo la giurisprudenza, per il raffronto dei redditi fa stato il momento dell’inizio dell’eventuale diritto alla rendita (DTF 129 V 222; cfr., pure, STFA I 600/01 del 26 giugno 2003, consid. 3.1; STFA I 475/01 del 13 giugno 2003, consid. 4.2; STFA del 18 ottobre 2002 I 761/01, consid. 3.1, pubblicata in SVR 2003 IV Nr. 11; STFA I 26/02 del 9 agosto 2002, consid. 3.1), per cui nel caso concreto sono determinanti i dati del 2006 (visto che, come risulta dagli accertamenti medici esperiti, l’incapacità lavorativa di lunga durata è iniziata nel dicembre 2005). 2.14.2.   Per quel che concerne il reddito da valido, il cui importo non è del resto stato contestato in sede di ricorso, l’Ufficio AI ha quantificato il reddito che l’assicurata avrebbe potuto percepire da sana nel 2006 in fr. 28’859.-- (cfr. doc. AI 59/2), conformemente a quanto indicato dal consulente in integrazione che si è basato sui dati forniti dagli ultimi datori di lavoro (doc. AI 57/2, 28/1 e 23/1). 2.14.3.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 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Nel caso di specie, utilizzando i dati forniti dalla succitata tabella elaborata dall'Ufficio federale di statistica, la ricorrente, svolgendo nel 2006 una attività semplice e ripetitiva, livello di qualifica 4, avrebbe potuto realizzare un reddito annuo ipotetico da invalido pari a fr. 50'277.69 ( fr. 4'019.-- riportati su 41.7 ore [ cfr. tabella B 9.2, pubblicata in La Vie économique, 3-2009, pag. 98 ) moltiplicati per 12 [ ritenuto che la quota di tredicesima è già compresa, cfr. STFA U 274/98 del 18 febbraio 1999, consid. 3a] ). Questo Tribunale constata che il salario che l’assicurata     avrebbe conseguito nel 2006 (con un grado di occupazione del 100%) quale ausiliaria di pulizia e collaboratrice domestica presso i suoi ultimi datori di lavoro (fr. 47'309.83 , cfr. consid. 2.15.1: fr. 28’859.-- al 61%, cfr. consid. 2.9), è superiore a quello realizzato, nello stesso anno, in media a livello svizzero dai lavoratori del settore servizi personali (Tabella TA1 2006, p.to 93, livello di qualifica 4: fr. 3'309.-- riportato su 41.7 ore/settimana x 12 mesi; cfr. tabella B 9.2 pubblicata in La vie économique 3-2009, pag. 98 = fr. 41’395.59). Nel caso in esame non sono, perciò, realizzati i presupposti per ridurre il reddito statistico da invalido conformemente alla giurisprudenza federale citata. Determinante per l'accertamento del reddito senza invalidità non è quanto l'assicurato potrebbe ragionevolmente guadagnare in qualità di persona esercitante un'attività lucrativa a tempo pieno, bensì quanto egli ipoteticamente, secondo il grado della verosimiglianza preponderante, guadagnerebbe senza danno alla salute (DTF 133 V 504 consid. 3.3 e Pra 1992 no. 224 pag. 877 consid. 4a). Conformemente alla giurisprudenza suenunciata – ritenuta una capacità lavorativa dell’80% in un’attività adeguata – il reddito ipotetico da invalido ammonta a fr. 40'222.15 ( 50'277.69 x 80% = 40'222.15). In conclusione, ritenuto che il reddito ipotetico da invalido di 40'222.15 è superiore al reddito da valido di fr. 28’859.-- (cfr. consid. 2.14.2), per la parte di salariata non sussiste alcuna limitazione. 2.14.4.   Poste infine le quote parti di attività salariata (61%) e di casalinga (39%) (cfr. consid. 2.9) e ritenuta la limitazione del 24% quale casalinga (cfr. consid. 2.13) e dello 0% quale salariata (cfr. consid. 2.14.3), il grado d’invalidità globale è del 9.36% (61 x 0% + 39 x 24%). Inferiore alla soglia minima del 40% (cfr. consid. 2.4), il grado d’invalidità della ricorrente non apre il diritto ad una rendita di invalidità. Allo stesso risultato, grado d’invalidità non pensionabile, si giungerebbe infine con ogni verosimiglianza anche volendo aggiornare i dati salariali al 2009. Ritenuto il grado d’invalidità dello 9.36% e conformemente all’art. 17 LAI – invalido ai sensi di questa disposizione è un assicurato che, a causa del tipo e della gravità del danno alla salute subito, patirebbe, senza una riformazione professionale, una perdita di guadagno pari almeno al 20% (SVR 2010 IV Nr. 16; DTF 124 V 110 consid. 2b; AHV Praxis 1997 pag. 80 consid. 1b) – a ragione l’Ufficio AI ha negato all’assicurata anche il diritto ad una riformazione professionale. 2.15. In simili circostanze, visto tutto quanto precede, la decisione impugnata va quindi confermata. 2.16.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