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32.2009.135 vom 29. Mai 2009</w:t>
      </w:r>
    </w:p>
    <w:p>
      <w:r>
        <w:t>TI Tribunale d'appello, 2009-05-29, IT</w:t>
      </w:r>
    </w:p>
    <w:p>
      <w:r>
        <w:rPr>
          <w:b/>
        </w:rPr>
        <w:t xml:space="preserve">Quelle: </w:t>
      </w:r>
      <w:r>
        <w:t>https://mcp.opencaselaw.ch/entscheid/ti_gerichte_32.2009.135</w:t>
      </w:r>
    </w:p>
    <w:p>
      <w:r>
        <w:t>FR: TI_GERICHTE 32.2009.135 du 29 mai 2009</w:t>
      </w:r>
    </w:p>
    <w:p>
      <w:r>
        <w:t>IT: TI_GERICHTE 32.2009.135 del 29 maggio 2009</w:t>
      </w:r>
    </w:p>
    <w:p>
      <w:pPr>
        <w:pStyle w:val="Heading2"/>
      </w:pPr>
      <w:r>
        <w:t>Regeste</w:t>
      </w:r>
    </w:p>
    <w:p>
      <w:r>
        <w:t>A ragione l'Ufficio AI ha negato all'assicurato il diritto a prestazioni essendo il grado d'invalidità non pensionabile</w:t>
      </w:r>
    </w:p>
    <w:p>
      <w:pPr>
        <w:pStyle w:val="Heading2"/>
      </w:pPr>
      <w:r>
        <w:t>Erwägungen</w:t>
      </w:r>
    </w:p>
    <w:p>
      <w:r>
        <w:rPr>
          <w:b/>
        </w:rPr>
        <w:t>E. 1</w:t>
      </w:r>
    </w:p>
    <w:p>
      <w:r>
        <w:t>gennaio 2004 sono in vigore le norme introdotte dalla 4a revisione della LAI e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130 V 445 consid. 1 pag. 446 seg. con riferimento a DTF 130 V 329; 129 V 4 consid. 1.2.; 127 V 466 consid. 1). Ne consegue che nel caso in esame sono applicabili le norme materiali in vigore fino al 31 dicembre 2002, al 31 dicembre 2003 e al 31 dicembre 2007 per quanto attiene allo stato di fatto realizzatosi fino a tali date, mentre per il periodo dal 1° gennaio 2008 sino alla decisione impugnata, che delimita temporalmente il potere cognitivo del giudice delle assicurazioni sociali (DTF 132 V 215 consid. 3.1.1 pag. 220 con riferimenti), trovano applicazione le norme della 5a revisione LAI. In concreto la questione non ha comunque particolare portata pratica, poiché 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la 4a revisione della LAI ha, in particolare, introdotto il diritto a tre quarti di rendita (art. 28 cpv. 1 LAI) e anche la 5a revisione dell'AI non ha modificato in maniera sostanziale le disposizioni legali sulla valutazione del grado d'invalidità. La giurisprudenza fondata sulle norme precedenti mantiene pertanto la sua validità (cfr. STF 9C_443/2009 del 19 agosto 2009 consid. 4 con riferimento a STF 8C_76/2009 del 19 maggio 2009 consid. 2 e DTF 130 V 343) . Di seguito sarà utilizzato il testo delle norme attualmente in vigore e, solo se necessario, richiamato il precedente tenore.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TF)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Qualora l'amministrazione entra nel merito della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Schaffhauser / Schlauri, Die Revision von Dauerleistungen in der Sozialver-sicherung, Veröffentlichungen des Schweizerischen Instituts für Verwaltungskurse an der Uni St. Gallen, 1999, pag. 15; DTF 117 V 198). Secondo l ’art. 17 cpv. 1 LPGA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w:t>
      </w:r>
    </w:p>
    <w:p>
      <w:r>
        <w:rPr>
          <w:b/>
        </w:rPr>
        <w:t>E. 3</w:t>
      </w:r>
    </w:p>
    <w:p>
      <w:r>
        <w:t>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La giurisprudenza sopra menzionata va applicata anche dopo l’entrata in vigore della LPGA il 1° gennaio 2003 e il nuovo tenore dell’art. 87 OAI valido dal 1° marzo 2004 (STF 20 giugno 2007 nella causa K, I 630/06, consid. 3 con riferimenti; DTF 130 V 343 consid. 3.5). 2.7. Nell’evenienza concreta, nelle annotazioni 15 febbraio 2008 (doc. AI 226/1-4), il dr. __________, medico SMR, ha concluso: “(…) necessito di perizia SAM come valutazione pluridisciplinare sia reumatologica sia neurologica sia psichiatrica per poter giungere a considerazioni e giustificazioni globali cliniche di esigibilità lavorativa. Una tale valutazione è necessaria per riformulare le diagnosi, descrivere l’evoluzione, terapie auspicate, nonché formulare le prognosi delle varie patologie, CL residua e limiti funzionali. (…)” (doc. AI 226/4). L’Ufficio AI ha quindi ordinato una perizia a cura del SAM (doc. AI 229/1-2). Dalla perizia pluridisciplinare 6 agosto 2008 (doc. AI 232/1-45) risulta che i periti, dopo aver esposto dettagliatamente l’anamnesi e le constatazioni obiettive, hanno fatto capo a tre consultazioni specialistiche esterne, di natura reumatologica (dr. __________), neurologica (dr. __________) e psichiatrica (dr. __________). Sulla base delle risultanze dei singoli consulti e del soggiorno del ricorrente presso il citato centro d’accertamento, i periti hanno posto la seguente diagnosi: " 5.1      Diagnosi con influenza sulla capacità lavorativa: Periartropatia omeroscapolare tendinopatica a sinistra, con lesione parziale della cuffia dei rotatori, soprattutto del sopraspinato e del sottoscapolare, di origine postraumatica nel 1991. Periartropatia omeroscapolare tendinopatica alla spalla destra. Stato dopo frattura del III medio della clavicola destra, con consolidamento della frattura e deviazione in asse e leggero raccorciamento. Periartropatia dell’anca destra in stato dopo trauma contusivo nell’ottobre 1997, con all’esame dell’artro-RM lesioni degenerative del labbro glenoidale. Stato dopo frattura della caviglia sinistra, con osteosintesi, e materiale di osteosintesi ancora in sito, nel marzo del 2000. Sindrome di Ganser. Perdita sensoriale dissociativa. 5.2      Diagnosi senza influenza sulla capacità lavorativa: Emispasmo facciale. Stato da possibile discreto ictus ischemico in territorio vertebrobasilare, comunque non documentato in modo certo agli esami clinici e neuroradiologici, attualmente senza sicuri deficit residui. Emisindrome motoria a destra di origine funzionale. Soprappeso con BMI 27 kg/m 2 ." (doc. AI 232/14) Sulla base di tutti gli atti medici raccolti, dopo un’attenta valutazione, i periti, posta la seguente valutazione medico-teorica globale dell’attuale capacità lavorativa: “(…) l’attuale grado di capacità lavorativa medico-teorico globale dell’A., nell’attività da ultimo esercitata di cuoco, è considerata nella misura del 30%, inteso come riduzione della capacità funzionale residua sull’arco di un'intera giornata lavorativa. (…)” (doc. AI 232/18), hanno concluso: " (...) 8      CONSEGUENZE SULLA CAPACITÀ LAVORATIVA Conseguenze sulla capacità lavorativa derivano dalle patologie reumatologiche e psichiatriche, mentre invece, come descritto al capitolo 6, dal punto di vista neurologico non vi sono limitazioni della capacità lavorativa. Dal punto di vista reumatologico, come descritto al capitolo 6, vi è una patologia a livello della spalla sin., della spalla ds., della clavicola ds., dell'anca ds. e della caviglia sin.. Secondo il nostro consulente, tenendo in considerazione anche l'evoluzione delle problematiche psichiche descritte, bisogna relativizzare le patologie all'apparato muscoloscheletrico. Segnala come vi sia una notevole discrepanza fra le limitazioni cliniche sostanzialmente dettate dalla sintomatologia dolorosa, sia alle spalle bilateralmente, come pure all'anca ds., e l'assenza - alle indagini radiologiche attuali - di patologie significative. In particolar modo, non si sono sviluppate all'anca ds. problematiche artrosiche e alle spalle bilateralmente non vi sono reperti sostanziali. Il Dr. __________ sottolinea, inoltre, come, a partire dall'anno 2000 (quando aveva effettuato la precedente valutazione peritale), i disturbi siano rimasti sostanzialmente invariati per quel che riguarda il reperto principale, localizzato alla spalla sin.. In conclusione, il nostro consulente ritiene che, non essendovi soggettivamente miglioramenti dello stato di salute e non essendovi pure sostanziali modifiche del reperto clinico, l'A. presenti - per quanto riguarda l'attività professionale di cuoco - una limitazione del 70%, come determinato nella perizia effettuata dal Dr. __________ nel 2005 (atto 4.02.2005), senza ulteriori peggioramenti della capacità professionale. Il Dr. __________ ritiene tuttora valide le limitazioni allora elencate. Dal punto di vista psichiatrico il nostro consulente Dr. __________ diagnostica una sindrome di Ganser e una perdita sensoriale dissociativa: la limitazione funzionale è data dalla sintomatologia pseudoregressiva che l'A. presenta e che lo rende lento, impreciso e discontinuo nell'esecuzione delle mansioni richieste. Ciò comporta, dal punto di vista psichiatrico, un'incapacità lavorativa nella misura del 20% in qualunque attività lavorativa, a partire dal 2003. Riteniamo che le incapacità lavorative descritte dai nostri consulenti non debbano essere sommate, in quanto tutte le patologie che causano una limitazione della capacità lavorativa comportano sempre una riduzione del rendimento. Riassumendo, sulla base di quanto descritto sopra, dal punto di vista fisico e psichico, valutiamo l'attuale grado di capacità lavorativa globale, nell'attività da ultimo esercitata come cuoco, nella misura del 30%. Per quanto riguarda la valutazione temporale della limitazione della capacità lavorativa, ricordiamo che, dopo una prima richiesta di prestazioni AI per adulti respinta (atti 27.04.2000 e 7.02.2001), l'A. il 16.08.2002 aveva inoltrato una nuova richiesta di prestazioni per adulti, nuovamente respinta nel progetto UAI del Ct. Ticino (atto 15.12.2006), dopo aver effettuato diverse perizie mediche (atti 4.02.2005, 13.12.2005 e 17.01.2006). Come descritto dai nostri consulenti, dal punto di vista reumatologico la valutazione è invariata rispetto alla perizia reumatologica effettuata dal Dr. __________ nel febbraio 2005 (atto 4.02.2005) e dal punto di vista psichiatrico il nostro consulente concorda con la valutazione eseguita in precedenza dal Dr. __________ nella perizia psichiatrica del 17.01.2006. Da allora la valutazione è rimasta invariata, ricordando anche che, dal punto di vista neurologico, non vi sono limitazioni della capacità lavorativa. 9      CONSEGUENZE SULLA CAPACITÀ D'INTEGRAZIONE L'A. è ritenuto in grado di poter esercitare altre attività. Dal punto di vista neurologico non vi sono limitazioni della capacità lavorativa. Dal punto di vista reumatologico il nostro consulente ritiene che, in un'attività lavorativa adatta, che tenga in considerazione le limitazioni descritte nella perizia effettuata dal Dr. __________ nel 2005 (atto 4.02.2005), in particolar modo riferibile alla patologia della spalla sin., vi sia una capacità lavorativa nella forma completa. Tenendo in considerazione che dal punto di vista psichiatrico il nostro consulente valuta un'incapacità lavorativa nella misura del 20% in qualunque attività lucrativa, giungiamo alla conclusione che in un'attività adatta, rispettosa delle limitazioni descritte sopra, la capacità lavorativa globale sia da considerare nella misura del 80%. Sulla base delle constatazioni del nostro consulente psichiatra, non riteniamo indicati provvedimenti d'integrazione professionale. Per quanto riguarda le possibilità terapeutiche, per quanto riguarda la patologia psichiatrica si tratta di una complessa sindrome conversiva, che va trattata sul piano relazionale e comportamentale e meno su quello farmacologico. Il trattamento attualmente in corso sicuramente rende l'A. passivo, rallentato e più regredito. In questo modo si tende a co-creare nell'A. una posizione pseudoregressiva e dipendente da terzi. L'A. dichiara di stare meglio perché è cristallizzato nella sua posizione di guadagno secondario dalla malattia. 10   OSSERVAZIONI e RISPOSTE a DOMANDE PARTICOLARI Le conclusioni peritali si fondano su un'esauriente discussione tra tutti i medici periti del SAM. Domande particolari non sono poste. Lasciamo il compito al servizio medico regionale, rispettivamente all'Ufficio Al, la decisione di eventualmente inviare copia della nostra perizia al medico curante, affinché sia informato sulle conclusioni peritati. (…)" (doc. AI 232/18-20) L’Ufficio AI – viste le risultanze peritali, ritenuto il rapporto medico 8 agosto 2008 del dr. __________ (doc. AI 231/1-3) e considerato il rapporto finale 24 settembre 2008 del consulente in integrazione (doc. AI 234/1-3) – , con decisione 29 maggio 2009 (doc. AI 235/1-5), ha confermato il rifiuto del diritto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 Blaser,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(cfr. STFA del 3 giugno 2009 nella causa P., 8C_44/2009, consid. 3.3) 2.10.4.   U tilizzando i dati forniti dalla succitata tabella elaborata dall'Ufficio federale di statistica, il ricorrente, svolgendo nel 2002 una attività semplice e ripetitiva, livello di qualifica 4, avrebbe potuto realizzare un reddito annuo ipotetico da invalido pari a fr. 57’008.07 ( fr. 4'557.-- riportati su 41.7 ore [ cfr. tabella B 9.2, pubblicata in La Vie économique, 7/8-2005, pag. 98 ] moltiplicati per 12 [ ritenuto che la quota di tredicesima è già compresa, cfr. STFA U 274/98 del 18 febbraio 1999, consid. 3a]) . All’importo di fr. 57’008.07 non va poi applicata alcuna riduzione per gap salariale. Infatti, il salario ritenuto dall’amministrazione quale reddito da valido per il 2006 (fr. 56'199.--, cfr. consid. 2.10.2), è superiore a quello realizzato, nello stesso anno, in media a livello svizzero dai lavoratori del settore alberghi e ristoranti (Tabella TA1 2006, p.to 55, livello di qualifica 3: fr. 4'127.—riportato su 41.7 ore settimanali x 12 mesi = fr. 51'628.77). Vista la capacità lavorativa dell’80% in un’attività adeguata e applicata la riduzione del 10% (deduzione questa conforme alla giurisprudenza federale [DTF 126 V 80 consid. 5b/cc] e riconosciuta dal consulente in integrazione professionale che l’ha così motivata: “(…) riduzione […] del 10% inerente le difficoltà di adattamento causate dal cambio attività, dalla prolungata inattività lavorativa e dall’età dell’A. (…)” (doc. AI 234/3), il reddito da invalido risulta essere infine pari a fr. 41'045.81 (fr. 57’008.07 ridotti per motivi medici del 20% e diminuiti del 10% ). 2.10.5.   Volendo applicare il reddito da valido di fr. 56'199.-- (reddito determinante per il 2006 e sicuramente superiore a quello che dovrebbe invece essere considerato del 2002, cfr. consid. 2.10.2), ritenuto il reddito da invalido di 41'045.81 (anno 2002, cfr. consid. 2.10.4), il grado d’invalidità andrebbe cifrato al 27% ([ 56'199 – 41'045.81] : 56'199 x 100 = 26.96% arrotondato al 27% secondo la giurisprudenza di cui alla DTF 130 V 121 consid. 3.2). Ribadito che il calcolo appena esposto considera un reddito da valido (anno 2006 e non come si dovrebbe 2002) oltremodo favorevole all’assicurato, il grado d’invalidità effettivo sarebbe quindi inferiore al 27% e in ogni caso non pensionabile (cfr. consid. 2.4). Allo stesso risultato, grado d’invalidità inferiore al 40%, si giungerebbe con ogni verosimiglianza anche volendo considerare l’evoluzione dei redditi sino al 2009 (anno in cui è stata resa la decisione impugnata). 2.11. In simili circostanze, visto tutto quanto precede, è dunque a ragione che l’Ufficio AI ha negato all’assicurato il diritto a prestazioni. La decisione impugnata va quindi confermata.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r>
        <w:rPr>
          <w:b/>
        </w:rPr>
        <w:t>E. 5</w:t>
      </w:r>
    </w:p>
    <w:p>
      <w:r>
        <w:t>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l’assicurato è portatore, giungendo ad una conclusione logica e priva di contraddizioni in merito alla sua capacità lavorativa del 30% nell’attività da ultimo svolta quale cuoco dall’agosto del 2002 – nella perizia 4 febbraio 2005 (doc. AI 157/1-3), confermata dai periti del SAM, il dr. __________, FMH in malattie reumatiche, fisiatria e riabilitazione, aveva osservato che “(…) è difficile dire a partire da quando vi è stato un ulteriore peggioramento significativo della situazione dato che i disturbi alla spalla destra ed all’anca destra sarebbero insorti in seguito ad eventi traumatici già avvenuti prima della precedente valutazione AI del 2000. Essi sembrano comunque rivelatisi consistenti al momento della nuova domanda per prestazioni AI dell’agosto 2002. (…)” (doc. AI 157/11-12) – e dell’80% in un’attività adeguata dal 2003. Non può invece essere assunta la conclusione del dr. __________ secondo la quale l’incapacità lavorativa del 20%, in un’attività rispettosa dei limiti funzionali posti, sarebbe data dal 1. giugno 2008 (cfr. doc. AI 231/2). Gli stessi periti del SAM hanno infatti, tra l’altro, evidenziato che “(…) dal punto di vista psichiatrico il nostro consulente Dr. __________ diagnostica una sindrome di Ganser e una perdita sensoriale dissociativa: la limitazione funzionale è data dalla sintomatologia pseudoregressiva che l’A. presenta e che lo rende lento, impreciso e discontinuo nell’esecuzione delle mansioni richieste. Ciò comporta, dal punto di vista psichiatrico, un’incapacità lavorativa nella misura del 20% in qualunque attività lavorativa, a partire dal 2003. (…)” (doc. AI 232/19, la sottolineatura è del redattore). Per il resto il TCA rileva che la dettagliata ed approfondita valutazione pluridisciplinare non é stata validamente smentita da altri certificati da parte di medici specialisti attestanti nuove patologie.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all’asserita necessità di un consulto psichiatrico il TCA rileva che il dr. __________, FMH in psichiatria e psicoterapia, nel consulto 28 maggio 2008 (doc. AI 232/22-26) – posta la diagnosi di “(…) sindrome di Ganser (ICD 10 F 44.8) e perdita sensoriale dissociativa (ICD 10 F 44.6) (…)” (doc. AI 232/25) e ritenuta un’incapacità lavorativa del 20% per ragioni psichiatriche dal 2003 – ha espresso la seguente valutazione: “(…) l’assicurato presenta una complessa sindrome conversiva che include due entità diagnostiche ai sensi dell’ICD 10. Concordo con la valutazione già eseguita dal collega Dr. __________ nella sua perizia psichiatrica del 17.01.2006. Non è riscontrabile un disturbo psichiatrico maggiore né di tipo depressivo, né di tipo psicotico. Si tratta di una forma di sindrome conversiva insorta nell’ambito di una problematica sociale e finanziaria. La “malattia psichica” acquista il valore di un guadagno secondario e lo protegge dal dover assumere con responsabilità un ruolo famigliare, sociale e lavorativo. Inoltre in questo modo è garantito il continuo accudimento da terzi, in particolare dal figlio __________, dalla nuora e dalla ex moglie. Non ho constatato nessun sintomo psicotico nel senso paranoie in quanto in nessun momento è emersa un’ideazione di tipo persecutoria e il suo modo di entrare in relazione con l’interlocutore è apparsa collaborante e in nessun momento ha dato segni di sospettosità. (…)” (doc. AI 232/25). Rispecchiando la perizia del SAM tutti i criteri di affidabilità e completezza richiesti dalla giurisprudenza (cfr. consid. 2.8), alla stessa può dunque esser fatto riferimento. Inoltre, non essendo l’interessato affetto da altre patologie invalidanti che avrebbero dovuto essere ulteriormente indagate, questo Tribunale ritiene che la refertazione medica agli atti contiene elementi chiari e sufficienti per valutare l'incapacità al guadagno dell'assicurato sino all'emanazione del querelato provvedimento. Pertanto,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129 V 51 consid. 2.4; DTF 126 V 353 consid 5b; 125 V 193 consid. 2 e i riferimenti ivi citati), che sino al momento dell'emanazione della decisione impugnata l'assicurato presentava una capacità lavorativa del 30% nella sua attività abituale di cuoco dall’agosto 2002 e dell’80% in un’attività adeguata dal 2003. Ciononostante va fatto presente all’assicurato che in caso di peggioramento rilevante delle condizioni di salute, debitamente comprovato da pertinente documentazione medica, egli potrà in futuro presentare una nuova domanda di prestazioni. Infatti il presente giudizio non pregiudica eventuali suoi diritti nei confronti dell’assicurazione federale per l’invalidità insorti in epoca successiva alla data decisiva del provvedimento impugnato, il quale delimita il potere cognitivo del giudice (DTF 130 V 140 e 129 V 4). La domanda di una perizia pluridisciplinare giudiziaria per determinare le conseguenze invalidanti delle patologie del ricorrente, in particolare per la componente psichiatrica, va disattesa. Questo Tribunale – ribadito che per quel che riguarda le perizie allestite da specialisti esterni all'amministrazione, il TFA ha riconosciuto loro pieno valore probante, fintantoché non vi sono degli indizi concreti che facciano dubitare della loro attendibilità (STFA del 10 luglio 2003 nella causa C., U 168/02; DTF 125 V 353, consid. 3b/bb). Trattandosi specificatamente delle perizie esperite dai centri medici di accertamento dell’AI, il TFA, nella DTF 123 V 175, ha esplicitamente ammesso che l’imparzialità e l’indipendenza di questi servizi nei confronti dell’amministrazione e dell’UFAS sono garantite – ricorda qui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2.10. Essendo quindi esigibile che l’assicurato sfrutti la sua residua capacità lavorativa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2.10.1.   Questo Tribunale rileva innanzitutto che dopo che la decisione 27 aprile 2000 – con la quale l’Ufficio AI ha negato il diritto a prestazioni; doc. AI 88/1-2 – è stata confermata con la STCA 7 febbraio 2001 (inc. 32.2000.49; doc. AI 97/1-13), nel 2002 è subentrato un peggioramento dello stato valetudinario. Di conseguenza, a mente di questa Corte, il 2002 va considerato quale anno determinante per il confronto dei redditi. 2.10.2.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nel rapporto finale 10 luglio 2006 (doc. AI 195/1-3) il consulente in integrazione professionale ha stabilito quale reddito da valido per il 2006 l’importo, rimasto incontestato, di fr. 56'199.--: “(…) Rh2006 quale cuoco Categoria con 10 anni d’esperienza professionale, Fr. 4'323 x 13 = Fr 56'199 (Fonte: __________, 1 gennaio 2006. Definito il reddito con __________) (…)” (doc. AI 195/3). Questo Tribunale rinuncia a calcolare l’importo da considerare per il 2002, anno qui rilevante, visto che anche volendo considerare il dato valido per il 2006 (chiaramente più alto), come si vedrà ai prossimi considerandi, in ogni caso il grado d’invalidità non sarebbe pensionabile. 2.10.3.   Per quanto riguarda invece il reddito da invalido, la giurisprudenza federale si fonda sui criteri fissati nella sentenza pubblicata in DTF 126 V 75 seg.. Tale reddito va segnatamente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Questa Corte, con sentenza del 7 aprile 2008 nella causa D. (32.2007.165), fondandosi sulla sentenza del 20 febbraio 2008 nella causa C., ( U 8/07) ,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Il TF, con sentenza del 23 aprile 2008 nella causa F. (8C_399/2007), ha lasciato aperta la questione a sapere se l’adeguamento va ammesso solo nel caso in cui il valore fosse chiaramente sotto la media (“ deutliche Abweichung ”). Tale è di regola stata ritenuta una differenza del 10% (SVR 2004 UV Nr. 12 pag. 45 consid. 6.2; dell’8% nella sentenza U 463/06 del 20 novembre 2007). La questione è stata definitivamente risolta dalla nostra Massima Istanza la quale, nella sentenza 8C_44/2009 del 3 giugno 2009, ha ricordato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