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32.2009.130 vom 18. November 2009</w:t>
      </w:r>
    </w:p>
    <w:p>
      <w:r>
        <w:t>TI Tribunale d'appello, 2009-11-18, IT</w:t>
      </w:r>
    </w:p>
    <w:p>
      <w:r>
        <w:rPr>
          <w:b/>
        </w:rPr>
        <w:t xml:space="preserve">Quelle: </w:t>
      </w:r>
      <w:r>
        <w:t>https://mcp.opencaselaw.ch/entscheid/ti_gerichte_32.2009.130</w:t>
      </w:r>
    </w:p>
    <w:p>
      <w:r>
        <w:t>FR: TI_GERICHTE 32.2009.130 du 18 novembre 2009</w:t>
      </w:r>
    </w:p>
    <w:p>
      <w:r>
        <w:t>IT: TI_GERICHTE 32.2009.130 del 18 novembre 2009</w:t>
      </w:r>
    </w:p>
    <w:p>
      <w:pPr>
        <w:pStyle w:val="Heading2"/>
      </w:pPr>
      <w:r>
        <w:t>Regeste</w:t>
      </w:r>
    </w:p>
    <w:p>
      <w:r>
        <w:t>Senza ulteriori indagini non é possibile escludere che un peggioramento sia insorto prima della decisione impugnata. Rinvio atti all'Ufficio AI</w:t>
      </w:r>
    </w:p>
    <w:p>
      <w:pPr>
        <w:pStyle w:val="Heading2"/>
      </w:pPr>
      <w:r>
        <w:t>Erwägungen</w:t>
      </w:r>
    </w:p>
    <w:p>
      <w:r>
        <w:rPr>
          <w:b/>
        </w:rPr>
        <w:t>E. 5</w:t>
      </w:r>
    </w:p>
    <w:p>
      <w:r>
        <w:t>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 4.3 4.3.1 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 4.3.2 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 (…)" (STF del 14 luglio 2009 nella causa Z., 9C_323/2009, consid. 4.2 e 4.3)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Nell’evenienza concreta, richiamata la suesposta giurisprudenza in materia di valore probatorio di rapporti medici, questo Tribunale non intravede ragioni che gli impediscano di far proprie le conclusioni cui sono giunti i periti del SAM avuto riguardo alla patologia psichiatrica. Per quanto riguarda l’aspetto somatico la fattispecie merita invece di essere ulteriormente indagata come verrà di seguito esposto. 2.8.1.   Per quanto riguarda la patologia psichiatrica il dr. __________, FMH in psichiatria e psicoterapia, nel consulto 14 agosto 2008 (doc. AI 21/18-23), posta la seguente diagnosi: " (…) Sindrome depressiva ricorrente, episodio attuale di grado medio (ICD 10 F 33.1). Disturbo di personalità misto (ICD 10 F 61.0) schizoide, dipendente e emotivamente instabile. (…)" (doc. AI 21/21) ha concluso: " (…) 1.  Diagnosi. Vedi sopra. 2.  Influenza di queste ultime sulla capacità lavorativa nell’attività da ultimo svolta dall’assicurato. L'assicurato presenta una incapacità lavorativa nella misura del 60 % per ragioni psichiatriche, sia nella sua professione sia in altre attività medico teoriche. 3.  Descrivere l'evoluzione dello stato di salute dell'assicurato dal punto di vista specialistico. Prognosi. L'evoluzione del quadro clinico è apparso in modo conclamato a partire dal 2004. Da allora egli presenta una incapacità medico teorica nella misura del 60 %. La prognosi è stazionaria a lungo termine. 4.  Come si giustifica la diminuzione della capacità lavorativa? Quali sono le limitazioni funzionali constatate? La limitazione funzionale è data dalla sintomatologia depressiva (diminuzione delle funzioni cognitive, rallentamento del pensiero, apatia, abulia e astenia) che rende l'assicurato con una maggiore esauribilità, una maggiore affatticabilità, una minore precisione, resistenza e continuità nell'esecuzione delle mansioni. 5.  Possibilità terapeutiche per migliorare la capacità lavorativa. Che effetti avrebbero questi provvedimenti sulla capacità lavorativa? Come detto sopra si tratta di un processo psicopatologico in cui si constata un ripiegamento dell'apparato psichico e quindi con ogni probabilità si tratta di un quadro resistente e irreversibile al trattamento psicofarmacologico. 6.  Ritiene possibile effettuare provvedimenti di integrazione professionale? No. In considerazione dell'età e delle caratteristiche del quadro. 7.  Ritiene che l'assicurato sia in grado di svolgere altre attività? Se sì descrivere il limite funzionale e la capacità lavorativa in altre attività adatte. Potrebbe eseguire delle attività semplici e ripetitive, sempre con una incapacità lavorativa nella misura del 60 %. (…)" (doc. AI 21/22-23) Queste valutazioni non sono state contestate dall’assicurato che non ha d’altronde prodotto certificazione medica specialistica – anche se la perizia del SAM è stata trasmessa alla dr.ssa __________, FMH in psichiatria e psicoterapia, presso l’Ospedale __________, (doc. AI 32/1) – dalla quale si dovrebbe concludere che le conclusioni del dr. __________, fatte proprie dai periti del SAM, siano errate. 2.8.2.   Per quanto riguarda l’aspetto somatico il dr. __________, della Clinica __________, nel referto RM colonna lombare del 01.09.2009, ha concluso: “(…) • Ernia discale L5-S1 centrale con possibile radicolopatia S1 bilaterale • Artropatia faccettaria • Lipoma del filum terminale (…)” (XIX). Viste le conclusioni suenunciate, ritenuto il relativamente breve lasso di tempo intercorso tra la RM colonna lombare del 01.09.2009 e le decisioni impugnate del 21, 28 maggio 2009 e considerato che nella perizia pluridisciplinare 25 agosto 2008 i periti del SAM si sono fondati, tra l’altro, su degli esami radiologici del 9 luglio 2008 (doc. AI 21/11), questo Tribunale non può escludere con la sufficiente tranquillità che un peggioramento della situazione valetudinaria sia subentrato in un periodo antecedente al momento della resa del provvedimento. Di conseguenza le decisioni impugnate vanno annullate e gli atti rinviati all’amministrazione affinché, sottoposte al SAM le risultanze della RM colonna lombare del 01.09.2009, stabilisca se le stesse hanno un influenza sulla capacità lavorativa e, nell’affermativa, quando potrebbero essere insorte. Al fine di chiarire la situazione l’Ufficio AI dovrà interpellare anche il dr. __________, FMH in reumatologia, al quale è stato inviato il referto in parola. Una volta aggiornata la perizia del SAM e, se del caso, effettuata una nuova valutazione globale della capacità lavorativa, l’Ufficio AI provvederà ad emettere un nuovo provvedimento. 2.9.   Per quel che riguarda la valutazione economica, ritenuto che la situazione medica deve essere ulteriormente indagata, al momento attuale non è possibile esprimersi compiutamente. Al riguardo il TCA si limita qui ad osservare che per il calcolo del grado d’invalidità la situazione non cambierebbe a favore dell’assicurato anche se, per pura ipotesi, quale reddito da valido si volesse considerare il salario valido per il 2007 per un cuoco con diploma. Detto reddito è infatti inferiore al reddito da valido di fr. 52'702.-- considerato dall’amministrazione. 2.10.   In simili circostanze, visto tutto quanto precede, le decisioni impugnate vanno annullate e gli atti rinviati all’Ufficio AI affinché, dopo aver proceduto come indicato al consid. 2.8, renda un nuovo provvedimento.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