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32.2009.128 vom 19. Mai 2009</w:t>
      </w:r>
    </w:p>
    <w:p>
      <w:r>
        <w:t>TI Tribunale d'appello, 2009-05-19, IT</w:t>
      </w:r>
    </w:p>
    <w:p>
      <w:r>
        <w:rPr>
          <w:b/>
        </w:rPr>
        <w:t xml:space="preserve">Quelle: </w:t>
      </w:r>
      <w:r>
        <w:t>https://mcp.opencaselaw.ch/entscheid/ti_gerichte_32.2009.128</w:t>
      </w:r>
    </w:p>
    <w:p>
      <w:r>
        <w:t>FR: TI_GERICHTE 32.2009.128 du 19 mai 2009</w:t>
      </w:r>
    </w:p>
    <w:p>
      <w:r>
        <w:t>IT: TI_GERICHTE 32.2009.128 del 19 maggio 2009</w:t>
      </w:r>
    </w:p>
    <w:p>
      <w:pPr>
        <w:pStyle w:val="Heading2"/>
      </w:pPr>
      <w:r>
        <w:t>Regeste</w:t>
      </w:r>
    </w:p>
    <w:p>
      <w:r>
        <w:t>Richiesta di prestazioni respinta in assenza di un grado diinvalidità rilevante. Metodo misto di calcolo dell'invalidità</w:t>
      </w:r>
    </w:p>
    <w:p>
      <w:pPr>
        <w:pStyle w:val="Heading2"/>
      </w:pPr>
      <w:r>
        <w:t>Erwägungen</w:t>
      </w:r>
    </w:p>
    <w:p>
      <w:r>
        <w:rPr>
          <w:b/>
        </w:rPr>
        <w:t>E. 4</w:t>
      </w:r>
    </w:p>
    <w:p>
      <w:r>
        <w:t>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(AHI-Praxis 2001 pag.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Sulla scorta delle considerazioni che precedono, e tenuto conto di tutte le circostante concrete, questo TCA non può quindi che ritenere adeguato il grado d'incapacità nello svolgimento delle mansioni casalinghe stabilito dall'Ufficio AI sulla base dell'accertamento domiciliare, e di conseguenza pure il tasso complessivo d'invalidità fissato al 44%, non essendoci sulla base delle risultanze dei medici interpellati dall’ammini-strazione nessun motivo medico per mettere in discussione la scelta di basarsi su quanto accertato in sede di inchiesta domiciliare. 2.15.   Per quanto riguarda la determinazione del grado di invalidità, richiamato l’art. 16 LPGA e quanto già esposto al consid. 2.3 che precede,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pag.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pag. 228, Omlin, Die Invalidità in der obligatorischen Unfallversicherung, Friborgo 1995, pag. 201).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pag. 212). Un assicurato non può pertanto avvalersi dell'impossibilità congiunturale di trovare un posto di lavoro per pretendere una rendita (ZAK 1984 pag. 347). Va ancora la pena di rilevare che, secondo la giurisprudenza del TFA, per accertare il reddito conseguibile dall'assicurato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Nel caso in esame meritano sostanziale conferma gli accertamenti eseguiti dall’amministrazione al fine di determinare il grado di invalidità dell’assicurata per la parte di attività salariata. Tali accertamenti tengono peraltro adeguatamente conto delle indicazioni formulate da questo TCA nella pronuncia del 2 novembre 2007. In particolare, il consulente in integrazione professionale, nel Rapporto finale 24 settembre 2008 ha dapprima esposto quanto segue: " (...) Calcolo CGR - senza (ri)formazione specifica Come attesta la sentenza del TCA del 2 novembre 2007 (incarto n° 32.2007.37), l'A. é da considerarsi salariata al 71% (vedi pagina 37). Reddito da sana Per quanto riguarda il reddito da prendere in considerazione per determinare il salario annuo che l'A. avrebbe potuto percepire senza il danno alla salute, il TCA nella sentenza summenzionata ha indicato che é opportuno utilizzare il salario di Fr. 23.-/ora. Alla luce di quanto deciso dal TCA, l'A. senza il danno alla salute, per l'anno 2004 avrebbe potuto percepire un salario annuo pari a Fr. 27'600.- annui nell' abituale attività di ausiliaria di pulizia (Fr. 23.-/ora x 25 ore/settimana x 48 sett/anno). Per quanto riguarda gli anni 2005, 2006 e 2007, rimando il lettore alla tabella di aggiornamento dei salari allegata. Reddito da invalida Considerando la CL del 100% con riduzione di rendimento del 10% in attività adeguate ed a seguito della sentenza del TCA del 12 giugno 2006 e delle indicazioni della Corte plenaria del Tribunale federale delle assicurazioni è stata stabilita l'inapplicabilità dei valori regionali (tabella TA13) che erano stati utilizzati finora. La nuova giurisprudenza impone quindi che il reddito da invalido vada d'ora in poi determinato in applicazione dei valori nazionali (tabella TA1). Utilizzando i dati forniti dalla citata tabella elaborata dall'Ufficio federale di statistica l'assicurata nel 2004 avrebbe potuto realizzare un salario mensile di Fr. 3'893.- (categoria 4.2: attività semplici e ripetitive, valore mediano). Riportando questo dato su 41.6 ore (cfr. tabella B 9.2 pubblicata in La Vie Economique, 112-2006, pag. 94) esso ammonta a Fr. 4'049.- mensili oppure a Fr. 48'584.- per l'intero anno. Considerando un reddito di partenza di Fr. 48'584.- si effettua la riduzione del 10% relativa alla riduzione di rendimento e quella del 25% relativa agli svantaggi salariali citati nel rapporto del collega __________i stilato in data 21 giugno 2006. Ne risulta un reddito da invalida di Fr. 23'284.- annui (vedi tabella allegata) Grado d'invalidità (27'600 - 23'284) x 100 = 15.64% 27'600 Per quanto riguarda gli anni 2005, 2006 e 2007, rimando il lettore alle tabelle di calcolo della CGR allegate. (...)" (doc. 87/1-2) In data 9 marzo 2009 il calcolo è tuttavia stato corretto come segue: " (...) Considerando che il TCA ha incluso nella determinazione del reddito da sana pure tali indennità non si effettua il calcolo sulle 52 settimane ma sulle 48 settimane (che corrispondono alle settimane effettive in un anno - 12 mesi x 4 settimane al mese). Si considerano 4 settimane (52 settimane all'anno) in più solamente quando nel calcolo non vengono incluse le varie indennità alle quali il lavoratore ha diritto. Mentre, per quanto riguarda le ore settimanali dell'A., avevo preso 25 ore alla settimane perché il precedente consulente IP le aveva utilizzate per il suo calcolo ma effettivamente é un errore in quanto il collega aveva considerato l'A. salariata al 62% e non al 71%. La sentenza del TCA (incarto n° 32.2007.37) nel punto in cui indica che il dato salariale da utilizzare, per determinare il reddito da sana, é Fr. 23.-/ora e indica che la quota a parte salariata é del 71% riporta pure che (vedi pag. 37 della sentenza citata sopra): "[...] Alle allegazioni della ricorrente questo TCA deve prestare adesione. [...]". L'A. indicava che le ore settimanali svolte erano di 28.5 alla settimana e non di 25 come ammesso dall'UAI. Per tale motivo é corretto prendere in considerazione il reddito da sana indicato dal Capo Team __________ nella sua annotazione all'incarto del 6 marzo 2009. Di conseguenza i redditi da sana da utilizzare per il calcolo del grado d'invalidità sono i seguenti (vedi aggiornamento dei salari allegato): - 2004                                       Fr. 31'464.-; - 2005                                       Fr. 31'778.64; - 2006                                       Fr. 32'159.98; - 2007                                       Fr. 32'674.54. Confrontati con i redditi da invalida indicati nel mio rapporto citato sopra, si ottengono i seguenti gradi d'impedimento della quota a parte salariata: - 2004                                       25.99%; - 2005                                       25.99%; - 2006                                       25.07%; - 2007                                       25.07%." (doc. AI 96/1) Partendo dal salario da invalida accertato dalla consulente professionale in base alle tabelle TA1 di fr. 48'584 (riferito al 2004), applicata una riduzione del 25% per tener conto degli svantaggi salariali, rapportato tale reddito ipotetico alla percentuale di attività lavorativa parziale del 90% (cfr. sopra consid. 2.13) e ottenendo in tal modo un salario da invalida di fr. 23’284, l’amministrazione ha quindi stabilito un grado di invalidità come salariata del 26%. Questo grado è risultato dal raffronto dello stipendio ipotetico da invalida con quello che l’as-sicurata avrebbe percepito continuando nella propria attività di ausiliaria di pulizie senza il danno alla salute,  accertato sulla base delle informazioni raccolte presso il precedente datore di lavoro dell’assicurata e in base alle indicazioni fornite da questo TCA, di fr. 31’464 (31'464 – 23’284 x 100): 31’464; cfr. doc. AI 97). Tali accertamenti e conclusioni, che sono peraltro di per sé rimasti incontestati dalla ricorrente, meritano conferma. In effetti la ricorrente non ha contestato né il reddito da valida né quello da invalida stabilito dall’amministrazione, né nel suo principio il confronto operato, ma si è limitata a censurare la riduzione del 10% sul salario da invalida riferita alla capacità lavorativa residua del 90% ammessa dall’amministrazione, ritenendo indicata una riduzione del 40% conformemente alle conclusioni in punto alla capacità lavorativa tratte dal dr. __________ e dal dr. __________ (cfr. I pag. 15). Questione, tuttavia, questa che concerne unicamente la valutazione della capacità lavorativa medico-teorica e che è gia stata affrontata al consid. 2.13 che precede. Inoltre, alla medesima conclusione si giungerebbe con ogni verosimiglianza anche volendo aggiornare i redditi (da valida e da invalida) fino al 2009 (come visto, occorre valutare se vi è stata una modifica di rilievo dei dati ipotetici di riferimento sino al momento della decisione impugnata, cfr. consid. 2.3 in fine). 2.16.   Poste poi le quote parti tra attività salariata e mansioni casalinghe stabilite dall’amministrazione nelle querelata decisione conformemente a quanto stabilito da questo TCA nella pronuncia del 2 novembre 2007 (cfr. sopra consid. 2.11), che come detto sono rimaste incontestate dall’assicurata, il grado di invalidità globale fissato dall’Ufficio AI al 31% (71 X 26% + 29 X 44%) in applicazione del metodo misto, va confermato. Non essendo dato un grado d’invalidità giustificante l’eroga-zione di una rendita d’invalidità (art. 28 cpv. 1 LAI), l’Ufficio AI ha di conseguenza rettamente negato l' attribuzione della rendita. La decisione contestata deve quindi essere confermata e il ricorso respinto. Si ribadisce tuttavia alla ricorrente che il presente giudizio non pregiudica eventuali suoi diritti nei confronti dell’assicurazione federale per l’invalidità insorti in epoca successiva alla data decisiva del provvedimento su opposizione in lite, il quale, sia nuovamente rilevato, delimita il potere cognitivo del giudice (DTF 130 V 140 e 129 V 4). In caso di peggioramento rilevante delle condizioni di salute, debitamente comprovato da pertinente documentazione medica, essa potrà dunque in futuro presentare una nuova domanda di prestazioni. 2.17. Da ultimo, la ricorrente ha chiesto l’assunzione di diverse prove e in particolare l’esecuzione di una nuova perizia.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già si è detto (cfr. in particolare il consid. 2.13) che la documentazione agli atti è sufficiente per statuire nel merito della vertenza. Né vi sono validi motivi per ritenere inaffidabile la valutazione effettuata dai periti del SAM, motivo per cui non appare necessario procedere all’allestimento di una perizia per verificare quanto già accertato. 2.18.   Secondo l’art. 69 cpv. 1bis LAI, in vigore dal 1° luglio 2006, la procedura di ricorso in caso di controversie relative all' 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