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32.2009.121 vom 14. Mai 2009</w:t>
      </w:r>
    </w:p>
    <w:p>
      <w:r>
        <w:t>TI Tribunale d'appello, 2009-05-14, IT</w:t>
      </w:r>
    </w:p>
    <w:p>
      <w:r>
        <w:rPr>
          <w:b/>
        </w:rPr>
        <w:t xml:space="preserve">Quelle: </w:t>
      </w:r>
      <w:r>
        <w:t>https://mcp.opencaselaw.ch/entscheid/ti_gerichte_32.2009.121</w:t>
      </w:r>
    </w:p>
    <w:p>
      <w:r>
        <w:t>FR: TI_GERICHTE 32.2009.121 du 14 mai 2009</w:t>
      </w:r>
    </w:p>
    <w:p>
      <w:r>
        <w:t>IT: TI_GERICHTE 32.2009.121 del 14 maggio 2009</w:t>
      </w:r>
    </w:p>
    <w:p>
      <w:pPr>
        <w:pStyle w:val="Heading2"/>
      </w:pPr>
      <w:r>
        <w:t>Regeste</w:t>
      </w:r>
    </w:p>
    <w:p>
      <w:r>
        <w:t>Ritenuto un grado d'invalidità del 15% a ragione l'Ufficio AI ha negato il diritto ad una riformazione professionale ed a una rendita</w:t>
      </w:r>
    </w:p>
    <w:p>
      <w:pPr>
        <w:pStyle w:val="Heading2"/>
      </w:pPr>
      <w:r>
        <w:t>Erwägungen</w:t>
      </w:r>
    </w:p>
    <w:p>
      <w:r>
        <w:rPr>
          <w:b/>
        </w:rPr>
        <w:t>E. 8</w:t>
      </w:r>
    </w:p>
    <w:p>
      <w:r>
        <w:t>cpv. 1 LAI stabilisce che: " Gli assicurati invalidi o minacciati da un’invalidità (art. 8 LPGA) hanno diritto ai provvedimenti d’integrazione per quanto: a.  essi siano necessari e idonei per ripristinare, conservare o migliorare la loro capacità al guadagno o la loro capacità di svolgere le mansioni consuete; e b.  le condizioni per il diritto ai diversi provvedimenti siano adempiute. " Al riguardo, nel Messaggio (pubblicato sul FF N. 30 del 2 agosto 2005, pag. 3989-4130) concernente la modifica della legge federale sull’assicurazione per l’invalidità (5 a revisione dell’AI) si legge che: " Capoverso 1: il presente capoverso stabilisce le condizioni generali d’assegna-zione per i provvedimenti d’integrazione. Le condizioni applicabili rimangono essenzialmente le stesse, ma in futuro basterà che vi sia una minaccia di invalidità e non più una minaccia diretta di invalidità. La legge precisa ora espressamente che i provvedimenti d’integrazione possono essere assegnati solo se sono adempiute sia le condizioni d’assegnazione generali sia le condizioni specifiche applicabili ai diversi provvedimenti d’integrazione. " Fra i provvedimenti d'integrazione concessi in virtù della LAI sono previsti pure i provvedimenti professionali (art. 8 cpv. 3 lett. b LAI), che comprendono l'orientamento (art. 15 LAI), la prima formazione professionale (art. 16 LAI), la riformazione professionale (art. 17 LAI), il collocamento (art. 18 cpv. 1 LAI) e l’aiuto in capitale (art. 18b LAI). 2.4.   L’art. 17 LAI prevede in particolare che l’assicurato ha diritto alla formazione in una nuova attività lucrativa, se la sua invalidità esige la riformazione professionale e se con questa la capacità al guadagno possa essere presumibilmente conservata o migliorata. Invalido ai sensi di questa disposizione è un assicurato che, a causa del tipo e della gravità del danno alla salute subito, patirebbe, senza una riformazione professionale, una perdita di guadagno pari almeno al 20% (DTF 124 V 108, consid. 2b, pag, 110-111; AHV Praxis 1997 pag. 80 consid. 1b).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 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108, consid. 2a, pag. 109-110; DTF 122 V 77, consid. 3b/bb, pag. 79-80; RCC pag. 495 consid. 2a).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Meyer-Blaser, Rechtsprechung des Bundesgerichts zum IVG, Zurigo 1997, pag. 131). 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parificabile a quello che avrebbe potuto percepire senza invalidità nella sua precedente attività. Il diritto a detti provvedimenti completivi non esige che sia raggiunta la soglia di rilevanza (perdita di guadagno del 20%: DTF 124 V 108, consid. 2b, pag. 110-111) richiesta per aver diritto ai provvedimenti d'integrazione professionale (STFA inedita 20 luglio 2002 nella causa C, I 237/00; Pratique VSI 2000, pag. 31-32, consid. 2 e 3b, RDAT I 1998 pag. 294; RCC 1978 pag. 527e STFA 1967 pag. 108). 2.5.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(TFA; dal 1° gennaio 2007 Tribunale federale, TF) i due redditi, dalla cui differenza emerge il grado dell'incapacità di guadagno, vanno stabiliti in maniera precisa. Se ciò non è possibile, devono essere calcolati sulla base di una valutazione fondata sulle circostanze concrete (SVR 1996 IV Nr. 74; DTF 114 V 313).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 ulteriore raffronto dei redditi prima di decidere. Tale principio è stato poi esteso anche all’assicurazione per l’invalidità (DTF 129 V 222; cfr. anche STFA inedite 26 giugno 2003 nella causa R. consid. 3.1, I 600/01; 3 febbraio 2003 nella causa R., I 670/01 pubblicata in SVR 2002 IV Nr. 24; 18 ottobre 2002 nella causa L. consid. 3.1, I 761/01 pubblicata in SVR 2003 IV Nr. 11 e 9 agosto 2002 nella causa S. consid. 3.1, I 26/02; cfr. anche STFA inedita 13 giugno 2003 nella causa G. consid. 4.2, I 475/01). 2.6.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del 29 settembre 1998 nella causa S. F., I 148/98, pag. 10 consid. 3b; Locher, Grundriss des Sozialversicherungsrecht, Berna 2003, pag.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del 30 giugno 2004 nella causa W., I 166/03, consid. 3.2)."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2.7.   Nell’evenienza concreta il dr. __________, medico SMR, nel rapporto medico 11 marzo 2009 (doc. AI 49/1-3) – posta la diagnosi principale di “(…) malformazione congenita delle due mani in esiti di molteplici interventi chirurgici (Synhexadactylia) – esiti di amputazione del IV metacarpo della mano destra (07.2008) (…)” e, senza influsso sulla capacità lavorativa, quella di “(…) sospetta sindrome da disadattamento (…)” (doc. AI 49/1) e ritenuti i seguenti limiti funzionali: “(…) attività senza impegno della mano destra e che non implichi frequenti movimenti di presa con la mano destra (…)” (doc. AI 49/2) – , ha concluso per una incapacità lavorativa nella sua attività abituale del 50% dal 17 novembre 2008 (100% dal 22 luglio al 16 novembre 2008) e per una capacità lavorativa totale in un’attività adeguata dal 9 marzo 2009. Il dr. __________, FMH in medicina interna, nel rapporto 6 marzo 2009 all’intenzione della Cassa malati (doc. 18/1-3 dell’incar-to cassa malati) – posta la diagnosi di “(…) malformazione congenita delle due mani (Synhexadactylia) ○ esiti da molteplici interventi chirurgici (dal 1989) – digitus superductus congenito ○ amputazione del IV metacarpale della mano destra (23 luglio 2008) (…)” (doc. 18/3 dell’incarto cassa malati) – si era così espresso sulla capacità lavorativa: “(…) inabile al lavoro al 100% dal 22 luglio al 16 novembre 2008, 50% dal 17 novembre 2008 (20½ ore settimanali). Dal 20 al 25 gennaio 2009 era inabile al lavoro al 100% per una malattia intercorrente (in cura del Dr. __________). Tenendo conto dei disturbi ancora credibilmente accusati, l’inabilità lavorativa parziale è giustificata. La capacità lavorativa sarebbe piena in un’attività senza impegno della mano destra o molto leggera, senza frequenti movimenti di presa con la mano destra. (…)” (doc. AI 18/3 dell’incarto cassa malati). Il dr. __________, FMH in chirurgia plastica, ricostruttiva ed estetica Spec. chirurgia della mano, nel rapporto medico 14 gennaio 2009 (doc. AI 42/1-5) – poste le diagnosi note e confermata un’inabilità lavorativa quale venditrice del 100% dal 22 luglio al 16 novembre 2008 e del 50% dal 17 novembre 2008 – , aveva attestato che in un’attività adeguata allo stato di salute l’assicurata è in grado di lavorare 40 ore alla settimana. Lo stesso sanitario, per quanto da lui valutabile, aveva inoltre attestato delle risorse psichiche illimitate pur osservando: “(…) attuale labilità psicologica (…)” (doc. AI 43/4). 2.8.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938/05, consid. 3.2)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qui evidenziato che in una sentenza del 14 luglio 2009, 9C_332/2009 destinata alla pubblicazione, il TF, richiamati l’art. 59 cpv. 2 bis LAI che regola i servizi medici regionali e l’art. 49 OAI che stabilisce i compiti, ha sviluppato le seguenti considerazioni: " (…) 4.2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(Botschaft vom 23. Juni 2005 zur Änderung des Bundesgesetzes über die Invalidenversicherung [5. Revision], BBl 2005 4572 zu Absatz 2 und 4577 Ziff. 2.2.1 zu Art. 7 Absatz 2; vgl. auch Protokolle der Sitzungen der nationalrätlichen und ständerätlichen Kommissionen für soziale Sicherheit und Gesundheit vom 11.-13. Januar 2006, S. 98 ff., resp. vom 29./30. Mai 2006, S. 62 f.; Beatrice Breitenmoser, Die Antworten des Gesetzgebers in der 4. und 5. IVG-Revision: Die zentralen Punkte der beiden Revisionen, in: Die 5. IVG-Revision: Kann sie die Rentenexplosion stoppen?, 2004, S. 108 f.; Ralf Kocher, Ausblick auf die 5. IV-Revision, in: Invalidität im Wandel, 2005, S. 45; Ueli Kieser, Entwicklungen im Rahmen der 5. IV-Revision, HILL 2007 Fachartikel Nr. 7, S. 5; ebenso, wenn auch rechtspolitisch kritisch, Hardy Landolt, Auswirkungen der 5. IVG-Revision auf die Schadenminderungspflicht, Personen-Schaden-Forum 2007, S. 239 ff., und Thomas Locher, Stellung und Funktion der Regionalen Ärztlichen Dienste [RAD] in der Invalidenversicherung [IV], in: Medizinische Gutachten, 2005, S. 65 f.). 4.3 4.3.1 Auch auf Stellungnahmen der RAD kann indessen nur abgestellt werden, wenn sie den allgemeinen beweisrechtlichen Anforderungen an einen ärztlichen Bericht genügen (Urteil des Eidg. Versicherungsgerichts I 694/05 vom 15. Dezember 2006 E. 2). Sie müssen insbesondere in Kenntnis der Vorakten (Anamnese) abgegeben worden sein und in der Beschreibung der medizinischen Situation und Zusammenhänge einleuchten; die Schlussfolgerungen sind zu begründen (BGE 125 V 351 E. 3a S. 352). Die RAD-Ärzte müssen sodann über die im Einzelfall gefragten persönlichen und fachlichen Qualifikationen verfügen (Urteile I 142/07 vom 20. November 2007 E. 3.2.3 und I 362/06 vom 10. April 2007 E. 3.2.1). Bezüglich dieser materiellen und formellen Anforderungen sind sie im Beschwerdefall gerichtlich überprüfbar (vgl. hiezu Protokoll der Sitzung der Kommission für soziale Sicherheit und Gesundheit des Nationalrates vom 11.-13. Januar 2006, S. 101).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(BBl 2005 4572 zu Absatz 2).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(Urteil I 1094/06 vom 14. November 2007 E. 3.1.1 in fine mit Hinweisen; vgl. auch BGE 127 I 54 E. 2e und f S. 57 f.). 4.3.2 Im Übrigen hat die Rechtsprechung bereits unter der bis 31. Dezember 2007 geltenden Rechtslage erkannt, dass Berichte regionaler ärztlicher Dienste materiell Gutachtensqualität haben können (vgl. etwa Urteil des Eidg. Versicherungsgerichts I 694/05 vom 15. Dezember 2006 E. 2; vgl. auch SVR 2008 IV Nr. 13, I 211/06 E. 5.2). Trifft dies zu, haben sie beweisrechtlich keinen geringeren Rang als etwa ein MEDAS-Gutachten (Urteil 9C_773/2007 vom 23. Juni 2008 E. 5.3; Urteil des Eidg. Versicherungsgerichts I 827/05 vom 18. Oktober 2006 E. 3.2; vgl. auch Urteil 9C_657/2007 vom 12. Juni 2008 E. 3.2). Nach dem soeben ergangenen Urteil 9C_204/2009 vom 6. Juli 2009 haben RAD-Untersuchungs-berichte, sofern sie den erwähnten materiellen und formellen Anforderungen (E. 4.3.1 hievor) genügen, einen vergleichbaren Beweiswert wie ein anderes Gutachten (BGE 9C_204/2009 vom 6. Juli 2009 E. 3.3.2 mit weiteren Hinweisen). Nach der kraft Art. 55 ATSG sinngemäss anwendbaren Rechtsprechung zu Art. 12 lit. e VwVG wird mit Gutachten von Sachverständigen gestützt auf besondere Sachkenntnis Bericht über die Sachverhaltsprüfung und -würdigung erstattet (BGE 132 II 257 E. 4.4.1 S. 269). Wann eine solche medizinische Expertise vorliegt, beurteilt sich im Einzelfall aufgrund der verfahrensmässigen Bedeutung und des Inhalts der ärztlichen Meinungsäusserung. Eine generelle, schematische, formalen Gesichtspunkten folgende Abgrenzung ist nicht möglich (BGE 122 V 157 E. 1b S. 160). Immerhin handelt es sich in der Regel da um ein Sachverständigengutachten, wo ein Arzt im Hinblick auf den Abschluss eines Versicherungsfalles beauftragt wird, einen auf den gesamten medizinischen Akten und allenfalls eigenen Untersuchungen beruhenden zusammenfassenden Bericht zu erstatten (Urteil U 65/06 vom 14. Februar 2007 E. 2.2 mit Hinweisen; Urteil des Eidg. Versicherungsgerichts U 91/95 vom 9. März 1998 E. 3c). (…)" (STF del 14 luglio 2009 nella causa Z., 9C_323/2009, consid. 4.2 e 4.3) Va ancora rilevato che, affinché un esame medico in ambito psichiatrico sia ritenuto affidabile, esso deve adempiere diverse condizioni. In DTF 127 V 294 l'Alta Corte ha infatti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2.9. Nell’evenienza concreta, richiamata la suesposta giurisprudenza in materia di valore probatorio di rapporti medici, questo Tribunale non intravede ragioni che gli impediscano di far proprie le conclusioni a cui è giunto il dr. __________, il quale, sulla base degli atti, ha compiutamente valutato le affezioni di cui l’assicurata è portatrice, giungendo ad una conclusione logica e priva di contraddizioni in merito all’assenza di patologie psichiatriche con ripercussioni sulla capacità di lavoro e alla capacità lavorativa del 50% nella sua attività abituale dal novembre 2008 e del 100% in un’attività adeguata dal marzo 2009. 2.9.1.   Per quanto riguarda l’aspetto extra somatico va rilevato che il dr. __________, oltre a non essere specialista, non ha attestato alcuna patologia psichiatrica secondo l’ICD 10 e che, al contrario, come sopra già evidenziato (cfr. consid. 2.7), dopo aver certificato delle risorse psichiche illimitate, si è limitato a evidenziare una “(…) attuale labilità psicologica (…)” (doc. AI 43/4). Lo stesso sanitario, nello scritto 14 gennaio 2009 indirizzato all’Ufficio AI, ha poi solo osservato che “(…) sarebbe sicuramente auspicabile che la paziente potesse beneficiare di un supporto psicologico per il quale chiedo il vostro benestare. (…)” (doc. AI 42/1). D’altra parte, nella nota 24 febbraio 2009, che riferisce di un contatto avuto con l’assicurata, il funzionario riporta che “(…) la signora RI 1 mi conferma che non è in cura per affezioni psichiatriche, non segue nessun sostegno psicoterapeutico per depressione e non sono previsti appuntamenti o contatti con uno specialista in psichiatria. (…)” (doc. AI 48/1). Inoltre neppure l’avv. RA 1 ha trasmesso al TCA qualsivoglia documentazione medica specialistica della menzionata dr.ssa __________ che avrebbe incontrato la paziente il 1. settembre 2009 (cfr. lo scritto del 31 agosto 2009 nel quale il legale si è riservato di produrre la “(…) presa di posizione da parte della specialista in psichiatria e psicoterapia Dott.ssa __________ di __________ (…)” [X]).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Del resto, a prescindere dal fatto che nessuno specialista l’ha diagnosticata, va qui ricordato che generalmente le depressioni reattive non sono considerate affezioni invalidanti, poiché di regola sono facilmente influenzabili e scompaiono dopo poco tempo, ad esempio se viene meno la causa di tale affezione (DTF 127 V 294 consid. 4a). Nemmeno è possibile concludere differentemente anche avuto riguardo al rapporto 20 agosto 2009, indirizzato all’avv. RA 1, nel quale il dr. __________, FMH in medicina generale, ha osservato, in modo del tutto generico, che “(…) la menomazione fisica ed il mancato, sperato recupero funzionale, hanno portato ad una sindrome depressivo-ansiosa. Ho iniziato un trattamento medicamentoso con Cymbalta, tuttavia è auspicabile anche un sostegno psichiatrico. (…)” (doc. B/2). 2.9.2.   Per quanto riguarda l’aspetto somatico il TCA si limita qui a rilevare quanto segue. Il dr. __________, come visto sopra (cfr. consid. 2.7), ha attestato che in un’attività adeguata allo stato di salute l’assicurata è in grado di lavorare 40 ore alla settimana. Lo stesso sanitario, pur avendone avuto la possibilità, nel rapporto 20 agosto 2009 indirizzato all’avv. RA 1, non solo non ha contestato le conclusioni a cui è giunto il dr. __________ ma, al contrario, le ha confermate: “(…) l’inabilità lavorativa persiste al 50% nella sua attività attuale. Sarebbe sicuramente minore o addirittura nulla qualora potesse effettuare un’atti-vità che non richiedesse sforzi né movimenti ripetitivi della mano destra. (…)” (doc. B/1). Anche il dr. __________, nel rapporto 28 agosto 2009 (doc. B/2), non ha posto delle diagnosi nuove, non ha contestato la valutazione del dr. __________ e non si è espresso sulla capacità lavorativa in un’attività adeguata. Lo stesso sanitario ha poi evidenziato in modo del tutto generico che “(…) dal punto di vista dell’abilità lavorativa e vista la giovane età della P., propongo una riqualifica professionale in un lavoro dove l’uso delle mani resta marginale e limitato, inoltre propongo una rivalutazione dell’invalidità residua considerando le due mani, che a mio avviso è stata sottovalutata. Purtroppo non ho a disposizione alcun documento o rapporto da parte del dott. __________. Sarebbe opportuno richiedere anche il suo parere in merito. (…)” (doc. B/2, pag. 2). Al riguardo il TCA rileva che il dr. __________, prima di attestare, nel rapporto 19 gennaio 2009, una capacità lavorativa totale in un’attività adeguata – esigibilità di un’attività lavorativa: “(…) in un’attività adeguata allo stato di salute 40 ore/settimana (…)” (doc. AI 43/5) – , nel rapporto intermedio 17 dicembre 2008 (doc. 8/1-3 dell’incarto cassa malati), alla domanda volta a sapere in che misura e a quali condizioni l’attività svolta finora è ancora ragionevolmente esigibile, aveva risposto: “(…) al 100% probabilmente fra qualche mese. (…)” (doc. 8/2 dell’incarto cassa malati). 2.9.3.   Questo Tribunale, conformemente alla giurisprudenza (cfr. consid. 2.7), può dunque fare proprie le conclusioni a cui è giunto il dr. __________: assenza di patologie psichiatriche con ripercussioni sulla capacità di lavoro e capacità lavorativa del 50% nella sua attività abituale dal novembre 2008 e del 100% in un’attività adeguata dal marzo 2009 (cfr. doc. AI 49/1-3). Inoltre, non essendo l’interessata affetta da altre patologie invalidanti che avrebbero dovuto essere ulteriormente indagate, questo Tribunale ritiene che la refertazione medica agli atti contiene elementi chiari e sufficienti per valutare l'incapacità al guadagno dell'assicurata sino all'emanazione del querelato provvedimento. Pertanto,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Sozialver-sicherugsrecht, tesi Zurigo 1995, pag. 61; DTF 113 V 28 consid. 4a e sentenze ivi citate; cfr. anche Meyer Blaser, Rechtsprechung des Bundesgerichts zum IVG, Zurigo 1997, pag. 221), è da ritenere siccome dimostrato con il grado della verosimiglianza preponderante, valido nell'ambito delle assicurazioni sociali (DTF 129 V 51 consid. 2.4; DTF 126 V 353 consid. 5b; DTF 125 V 193 consid. 2 e i riferimenti ivi citati), che sino al momento dell'emanazione della decisione impugnata l'assicurata presentava, dal novembre 2008, una capacità lavorativa del 50% nella sua attività abituale e, dal marzo 2009, del 100% in un’attività adeguata. Ciononostante va fatto presente all’assicurata che in caso di peggioramento rilevante delle condizioni di salute, debitamente comprovato da pertinente documentazione medica, ella potrà in futuro presentare una nuova domanda di prestazioni. Il presente giudizio non pregiudica infatti eventuali suoi diritti nei confronti dell’assicurazione federale per l’invalidità insorti in epoca successiva alla data decisiva del provvedimento impugnato, il quale delimita il potere cognitivo del giudice (DTF 130 V 140 e 129 V 4) 2.9.4.   Quanto alla richiesta, formulata dall’avv. RA 1, di una perizia pluridisciplinare, il TCA rileva quanto segue. Va qui innanzitutto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Nel caso in esame, già si è detto che il dr. __________, nel rapporto 19 gennaio 2009 (doc. AI 43/1-5), ha attestato una capacità lavorativa totale in un lavoro adeguato e che, nel rapporto 20 agosto 2009 indirizzato all’avv. RA 1 (doc. B/1), non ha contestato le conclusioni a cui è giunto il dr. __________. Anche il dr. __________, nel rapporto 28 agosto 2009 (doc. B/2), non ha posto delle diagnosi nuove, non ha contestato la valutazione del dr. __________ e non si è espresso sulla capacità lavorativa in un’attività adeguata. La richiesta di una perizia giudiziaria va pertanto disattesa. 2.10.   Essendo quindi esigibile che l’assicurata sfrutti la sua residua capacità lavorativa del 100%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2.10.1.   Ai fini della valutazione economica, nel rapporto finale 27 marzo 2009 (doc. AI 50/1-3), la consulente in integrazione professionale, tenuto conto delle valutazione mediche suindicate e dei seguenti limiti funzionali: “(…) attività senza impegno della mano destra o molto leggera e che non implichi frequenti movimenti di presa con la mano destra (…)” (doc. AI 50/1), ha indicato che “(…) l’assicurata potrebbe essere reintegrata sul mercato del lavoro supposto in equilibrio, in attività leggere, poco qualificate e confacenti con il danno alla salute, ad esempio nel settore dell’industria quale operaia generica addetta al controllo, all’imballaggio, alla pulitura, alla stampa, alla tamponatura, al riempimento, alla confezione, alla preparazione e distribuzione serie. Chiaramente si deve trattare di attività che non richiedono sforzi particolari con la mano destra e che non implicano particolari mansioni di precisione. Nel settore industriale la signora RI 1 i potrebbe inoltre essere impiegata in mansioni di controllo/sorveglianza del funzionamento e della qualità. E’ indubbio che i limiti presentati restringano la gamma di attività possibili in questo contesto ma si ritiene che vi sono delle mansioni sufficientemente rappresentative che permettono all’assicurata di sfruttare al meglio la sua capacità lavorativa. (…)” (doc. AI 50/2). Per quanto riguarda l’argomentazione sviluppata dall’avv. RA 1 stante la quale le limitazioni riguarderebbero entrambe le mani e l’assicurata non sarebbe in grado di lavorare sull’arco di un’intera giornata lavorativa, il TCA rileva quanto segue. Innanzitutto va rilevato che dal questionario per il datore di lavoro (doc. AI 44/1-7), fatta salva una breve incapacità lavorativa del 100% dall’11 al 16 febbraio 2008, risulta che l’assicurata ha iniziato il proprio impiego il 1. febbraio 2008 e che fino al 21 luglio 2008 ha lavorato a tempo pieno. L’inabilità lavorativa del 100% dal 22 luglio 2008 è poi da ricondurre all’operazione di amputazione metacarpale del IV raggio della mano destra (vedi il rapporto operatorio 23 luglio 2008 del dr. __________ sub doc. AI 43/10, dal quale si evince pure che il sanitario doveva aver considerato la problematica di entrambe le mani avendo posto la diagnosi di: “[…] digitus superductus IV mano destra. Stato dopo molteplici interventi chirurgici per malformazioni congenite alle mani. […]”). Inoltre, come visto sopra, da un punto di vista medico l’assi-curata è stata ritenuta abile al lavoro al 100% in un’attività adeguata. Alla luce di queste considerazioni, non possono quindi essere accolte le critiche formulate dal patrocinatore dell’assicurata e le attività indicate dalla consulente in integrazione professionale devono quindi essere considerate esigibili, in quanto rispettose dei limiti funzionali dell’interessata, ritenuto inoltre che all'assicurata incombe l’obbligo di intraprendere tutto quanto sia ragionevolmente esigibile per ovviare alle conseguenze del discapito economico cagionato dal danno alla salute segnatamente mettendo a profitto la sua residua capacità lavorativa, se necessario, in una nuova professione (DTF 113 V 28 consid. 4a e sentenze ivi citate; Landolt, Das Zumut-barkeitsprinzip im schweizerischen Sozialversicherungsrecht, tesi Zurigo 1995, pag. 296 segg). D’altro canto, il TCA non ignora le difficoltà che presenta il mercato del lavoro svizzero. Tuttavia, ciò rappresenta un    elemento estraneo all’invalidità. In effetti, secondo dottrina e giurisprudenza, l’assicurato deve compiere ogni sforzo per valorizzare al massimo le sue capacità di guadagno (STFA inedita del</w:t>
      </w:r>
    </w:p>
    <w:p>
      <w:r>
        <w:rPr>
          <w:b/>
        </w:rPr>
        <w:t>E. 8.2</w:t>
      </w:r>
    </w:p>
    <w:p>
      <w:r>
        <w:t>Come rettamente rilevato dal Presidente del Tribunale cantonale, tuttavia, la questione se la capacità lavorativa in posizione prevalentemente eretta risulta effettivamente ridotta non va risolta in questa sede. In effetti in considerazione dell'ampio ventaglio di attività semplici e ripetitive contemplate dai settori della produzione e dei servizi (cfr. ISS, livello di esigenze 4, tabella TA1) - un numero significativo di queste attività sono infatti di natura leggera, permettono di alternare la posizione e sono pertanto adatte al danno alla salute presentato dall'assicurato (v. per analogia la sentenza del Tribunale federale delle assicurazioni I 324/00 del 5 giugno 2001, consid. 2b) - la Corte ha già ripetutamente statuito, in casi con limitazioni funzionali analoghe, che esiste un mercato del lavoro sufficiente in cui realizzare la propria capacità lavorativa residua (consid. 2b non pubblicato della sentenza DTF 119 V 347 ; VSI 1998 pag. 296 consid. 3b; si veda anche la sentenza del Tribunale federale delle assicurazioni I 401/01 del 4 aprile 2002, consid. 4c). Si tratta segnatamente del mercato occupazionale per personale non qualificato o semi qualificato (RCC 1989 pag. 331 consid. 4a), in cui vi è una sufficiente offerta di occupazioni, in particolare nell'industria, in cui possono venir eseguite mansioni di sorveglianza e controllo, che non comportano aggravi fisici e che consentono il cambiamento frequente di posizione (RCC 1980 pag. 482 consid. 2; cfr. inoltre la sentenza del Tribunale federale delle assicurazioni U 329/01 del 25 febbraio 2003, consid. 4.7). A ciò si aggiunge che, tramite la riduzione del reddito ammessa dalla giurisprudenza ( DTF 126 V 75 ) si tien conto delle limitazioni riconducibili al danno alla salute, come ad esempio dell'impossibilità di portare pesi superiori ad una certa misura e quindi anche del fatto che la persona può, in realtà svolgere, solo lavori leggeri ("leidensbedingte Einschränkung", DTF 129 V 472 consid. 4.2.3 pag. 481 con riferimenti, sentenza I 418/06 del 24 settembre 2007, consid. 4.3). (…)." (STFA del 23 aprile 2008, nella causa F., 8C_399/2007, consid. 8.2) 2.10.2.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per cui nel caso concreto (cfr. art. 28 cpv. 1 lett. b LAI) sarebbero determinanti i dati del 2009 visto che è dal 2008 che l’assicurata ha iniziato ad essere, dapprima al 100% poi al 50%, inabile al lavoro nella sua attività abituale di venditrice. 2.10.3.   Riguardo all’accertamento del reddito da valido, va ricordato che,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pag. 381 e riferimenti; DTF 129 V 222 consid. 4.3.1 pag. 224 ) o comunque il salario che potrebbe essere conseguito in un posto di lavoro identico nella stessa azienda o in un'azienda simile (cfr. ad esempio la Circolare, edita dall'UFAS, sull'invalidità e la grande invalidità nell'assicurazione per l'invalidità, cifra marg. 3025). Il Tribunale federale, in una sentenza 8C_290/2007 del 7 luglio 2008 consid. 5.1, ha ribadito che: " (…)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 Dagli atti risulta che nel 2009, quale venditrice presso la __________, senza il danno alla salute, l’assicu-rata avrebbe potuto conseguire un reddito annuo pari a fr. 45'500.-- (3'500.-- x 13 = 45'500.-- vedi doc. AI 44/3 punto 2.10 e 50/2). L’importo di fr. 45'500.--, peraltro rimasto incontestato e determinato correttamente dalla consulente in integrazione professionale sulla base di quanto attestato dal datore di lavoro, va ritenuto quale reddito da valido per l’anno 2009. 2.10.4. Per quanto riguarda invece il reddito da invalido, la giurisprudenza federale si fonda sui criteri fissati nella sentenza pubblicata in DTF 126 V 75 seg.. Tale reddito va segnatamente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Questa Corte, con sentenza del 7 aprile 2008 nella causa D. (32.2007.165), fondandosi sulla sentenza del 20 febbraio 2008 nella causa C., ( U 8/07) ,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Il TF, con sentenza del 23 aprile 2008 nella causa F. (8C_399/2007), ha lasciato aperta la questione a sapere se l’adeguamento va ammesso solo nel caso in cui il valore fosse chiaramente sotto la media (“ deutliche Abweichung ”). Tale è di regola stata ritenuta una differenza del 10% (SVR 2004 UV Nr. 12 pag. 45 consid. 6.2; dell’8% nella sentenza U 463/06 del 20 novembre 2007). La questione è stata definitivamente risolta dalla nostra Massima Istanza la quale, nella sentenza 8C_44/2009 del 3 giugno 2009, ha ricordato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(cfr. STFA del 3 giugno 2009 nella causa P., 8C_44/2009, consid. 3.3) 2.10.5.   U tilizzando i dati forniti dalla succitata tabella elaborata dall'Ufficio federale di statistica, la ricorrente, svolgendo nel 2009 una attività semplice e ripetitiva, livello di qualifica 4, avrebbe potuto realizzare un reddito annuo ipotetico da invalido pari a fr. 53’048.88 ( fr. 4'019.-- aggiornati al 2008 [x 2175 : 2140 per il 2007 e x 2219 : 2175 per il 2008; cfr. tabella B 10.3, pubblicata in La Vie économique, 9-2009, pag. 95], riportati su 41.6 ore [ cfr. tabella B 9.2, pubblicata in La Vie économique, 9-2009, pag. 94 ], moltiplicati per 2% [ pari alla variazione percentuale dei salari in termini nominali riscontrata nel primo trimestre del 2009] e infine ancora moltiplicati per 12 [ ritenuto che la quota di tredicesima è già compresa, cfr. STFA U 274/98 del 18 febbraio 1999, consid. 3a]) . Questo Tribunale constata che il salario che l’assicurata avrebbe conseguito nel 2009 (con un grado di occupazione del 100%) quale venditrice presso la __________ (fr. 45'500.--, cfr. consid. 2.10.3), è inferiore a quello realizzato, nello stesso anno, in media a livello svizzero dai lavoratori del settore commercio al dettaglio e riparazioni (Tabella TA1 2006, p.to 52, commercio al dettaglio e riparazioni, livello di qualifica 4: fr. 3'946.-- aggiornati al 2008 [moltiplicando per le variazione percentuali dei salari dell’1,6% nel 2007 e del 2% nel 2008; cfr. tabella B 10.3, pubblicata in La Vie économique, 9-2009, pag. 95], riportati su 41.6 ore/settimana [ cfr. tabella B 9.2, pubblicata in La Vie économique, 9-2009, pag. 94 ] , moltiplicati per 2% [ pari alla variazione percentuale dei salari in termini nominali riscontrata nel primo trimestre del 2009] e infine ancora moltiplicati per 12 mesi [ ritenuto che la quota di tredicesima è già compresa, cfr. STFA U 274/98 del 18 febbraio 1999, consid. 3a] = fr. 52'055.39 ). Conformemente alla giurisprudenza federale (cfr. consid. 2.10.4) e posto che dall’incarto non emergono indizi a favore del fatto che fosse intenzione dell’assicurata accontentarsi di un guadagno modesto, il reddito statistico da invalido (fr. 53'048.88) va dunque ridotto dell’8.56%, percentuale corrispondente al gap salariale (fr. 45'500.-- contro fr. 52’055.39 meno i primi 5 punti %), e si attesta pertanto a fr. 48'507.89 (fr. 53'048.88 ridotti dell’8.56% = fr. 48'507.89). Applicando poi la riduzione del 20% (deduzione questa conforme alla giurisprudenza federale [DTF 126 V 80 consid. 5b/cc] e riconosciuta dalla consulente in integrazione professionale che l’ha così motivata: “(…) riduzione del 10% per attività leggera e del 10% in considerazione dei limiti funzionali legati all’uso della mano destra che potrebbero limitare l’assicurata in alcune mansioni o ridurre il suo rendimento (…)” (doc. AI 50/2) il reddito da invalido risulta essere infine pari a fr. 38'806.31 (fr. 48'507.89 ridotti del 20%). 2.10.6. Ritenuti i redditi da valido e invalido (anno 2009) di fr. 45'500.-- (cfr. consid. 2.10.3) rispettivamente di fr. 38'806.31 (cfr. consid. 2.10.5), il grado d’invalidità deve essere pertanto cifrato al 15% ([ 45'500 – 38'806.31] : 45'500 x 100 = 14.71% arrotondato al 15% secondo la giurisprudenza di cui alla DTF 130 V 121 consid. 3.2). 2.11.   In simili circostanze è dunque a ragione che l’Ufficio AI ha negato all’assicurata il diritto a una riformazione professionale e a una rendita (cfr. consid. 2.4 e 2.5). La decisione impugnata va quindi confermata.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200.-- sono poste a carico della ricorrente. 2.13. Nel ricorso l’assicurato ha formulato istanza di assistenza giudiziaria con gratuito patrocinio. Ai sensi dell’art. 61 cpv. 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cpv. 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I presupposti (cumulativi) per la concessione dell’assistenza giudiziaria – rimasti invariati rispetto al vecchio diritto (U. Kieser, “ATSG – Kommentar”, ad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Il TCA, chiamato ora a pronunciarsi, ritiene che nella presente fattispecie non sia soddisfatto il requisito della probabilità di esito favorevole (cfr. STFA del 10 ottobre 2001 nella causa F., U 347/98; STFA dell'8 febbraio 2001 nella causa B., I 446/00; STFA del 26 settembre 2000 nella causa D.N., U 220/99; STFA del 17 ottobre 2001 nella causa X, 1P.569/2001; STFA del 6 marzo 2001 nella causa E. e E., 5P.426/2000; STFA del 17 maggio 2000 nella causa B., 1P 281/2000; DTF 119 Ia 253 consid. 3b). Tale presupposto difetta quando le possibilità di vincere la causa sono così esigue che una persona di condizione agiata, dopo ragionevole riflessione, rinuncerebbe al processo in considerazione delle spese cui si esporrebbe (cfr. STFA del 26 settembre 2000 nella causa D.N.; RAMI 1994 pag. 78; DTF 125 II 275 consid. 4b; DTF 119 Ia 251; B. Cocchi/F. Trezzini, Codice di procedura civile ticinese massimato e commentato, Lugano 2000, ad art. 157, pag. 491-492, n. 1). Per valutare, in sede ricorsuale, la probabilità di esito favorevole è infatti sufficiente che, di primo acchito, il gravame non presenti notevolmente meno possibilità di essere accolto che di essere respinto, ovvero che non si debba ammettere che un ricorrente ragionevole non lo avrebbe finanziato con i propri mezzi (STFA del 9 agosto 2005 nella causa M., K 75/05; STFA del 10 agosto 2005 nella causa M., I 173/04; STFA del 29 agosto 2005 nella causa H., I 422/04;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giurisprudenza federale e delle considerazioni sopra esposte, la presente vertenza doveva apparire, dopo un esame forzatamente sommario, destinata all'insuccesso già al momento della presentazione del ricorso, in quanto le prospettive di esito favorevole erano considerevolmente minori dei rischi di perdere la causa. In effetti, come esposto ai considerandi precedenti, lo stesso dr. __________ aveva ritenuto l’assicurata abile al lavoro al 100% in un’attività adeguata. Inoltre, sia il dr. __________ che il dr. __________, nei rispettivi rapporti 20 e 28 agosto 2009 prodotti in sede ricorsuale sub doc. B/1 e B/2, non hanno contestato le conclusioni a cui è giunto il dr. __________ e sulle quali si è fondato il dr. __________. La conclusione secondo cui la lite era già di primo acchito destituita di esito favorevole si giustifica tanto più se si considera che nemmeno l’assicurata ha poi prodotto la preannunciata documentazione di carattere medico psichiatrico. In simili condizioni, non essendo realizzato nel caso in esame uno dei tre presupposti cumulativi, la domanda di assistenza giudiziaria deve pertanto essere respinta.</w:t>
      </w:r>
    </w:p>
    <w:p>
      <w:r>
        <w:rPr>
          <w:b/>
        </w:rPr>
        <w:t>E. 10</w:t>
      </w:r>
    </w:p>
    <w:p>
      <w:r>
        <w:t>settembre 1998 nella causa S.; DTF 123 V 96 consid. 4c; RAMI 1996 U 240 p. 96; SVR 1995 UV 35 p. 106 consid. 5b e riferimenti). Se, malgrado tale impegno, un’occupazione confacente all’in-teressato non è reperibile in concreto, questo è dovuto alla congiuntura del momento, per la quale, considerata la nozione di mercato equilibrato del lavoro, né assicurazione contro gli infortuni né quella per l'invalidità sono tenute a rispondere (DTF 110 V 276 consid. 4c; RCC 1991 pag. 332 consid. 3b, P. Omlin, op. cit., pag. 83). In tale ipotesi deve semmai intervenire l'assicurazione contro la disoccupazione. In esito alle considerazioni che precedono, il TCA deve dunque concludere che sul mercato generale del lavoro esistono delle attività adeguate che l’assicurata sarebbe in grado di esercitare nella misura del 100%, nonostante il danno alla salute. Al riguardo é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VSI 1998 p. 296 consid. 3b; STFA U 329/01 del 25 febbraio 2003, consid. 4.7). Il Tribunale federale ha nuovamente avuto occasione di ribadire la sua giurisprudenza nella STF 8C_399/2007 del 23 aprile 2008, con la quale ha confermato la STCA 35.2007.42 del 21 giugno 2007, osservando: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