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32.2008.127 vom 2. Oktober 2008</w:t>
      </w:r>
    </w:p>
    <w:p>
      <w:r>
        <w:t>TI Tribunale d'appello, 2008-10-02, IT</w:t>
      </w:r>
    </w:p>
    <w:p>
      <w:r>
        <w:rPr>
          <w:b/>
        </w:rPr>
        <w:t xml:space="preserve">Quelle: </w:t>
      </w:r>
      <w:r>
        <w:t>https://mcp.opencaselaw.ch/entscheid/ti_gerichte_32.2008.127</w:t>
      </w:r>
    </w:p>
    <w:p>
      <w:r>
        <w:t>FR: TI_GERICHTE 32.2008.127 du 2 octobre 2008</w:t>
      </w:r>
    </w:p>
    <w:p>
      <w:r>
        <w:t>IT: TI_GERICHTE 32.2008.127 del 2 ottobre 2008</w:t>
      </w:r>
    </w:p>
    <w:p>
      <w:pPr>
        <w:pStyle w:val="Heading2"/>
      </w:pPr>
      <w:r>
        <w:t>Regeste</w:t>
      </w:r>
    </w:p>
    <w:p>
      <w:r>
        <w:t>Visto il rapporto - reso pendente lite - del medico psichiatra SMR secondo il quale sono necessari ulteriori accertamenti a questo livello, la decisione impugnata va annullata e gli atti rinviati per resa di un nuovo provvedimento. In casu un tale agire non configura una reformatio in peius</w:t>
      </w:r>
    </w:p>
    <w:p>
      <w:pPr>
        <w:pStyle w:val="Heading2"/>
      </w:pPr>
      <w:r>
        <w:t>Erwägungen</w:t>
      </w:r>
    </w:p>
    <w:p>
      <w:r>
        <w:rPr>
          <w:b/>
        </w:rPr>
        <w:t>E. 27</w:t>
      </w:r>
    </w:p>
    <w:p>
      <w:r>
        <w:t>luglio 2007 (doc. AI 28/1-11), posta la diagnosi con ripercussioni sulla capacità lavorativa di “(…) episodio depressivo di media gravità dal 2006 in disturbo bipolare tipo II (ICD-10 F31.80) esistente presumibilmente dall’età di 20 anni – disturbo Borderline di personalità (ICD-10 F60-31) dall’età di 20 anni con aspetti dissociativi dalla morte del padre nel 2000 – disturbo d’ansia generalizzato (ICD-10 F41.1) dall’età di 20 anni – sindrome dipendenza da alcool uso continuo modico (ICD-10 F10-25) da anni ma peggiorato nel 2005 (…)” (doc. AI 28/8), ha posto i seguenti periodi e gradi di incapacità lavorativa nella sua attività: 50% dal 14 febbario 2005, 80% dal 1. novembre 2006, 100% dal 29 gennaio 2007 e 50% dal luglio 2007. Quali provvedimenti, che potrebbero incrementare la capacità lavorativa del 10%, la dr.ssa __________ ha indicato la possibilità di introdurre un neurolettico e la sensibilizzazione a ridurre gli abusi etilici e, riguardo alla possibilità di svolgere altre attività ha osservato che “(…) l’assicurato svolge un’attività indipendente che gli permette orari flessibili e di organizzare il suo lavoro in collaborazione con la segretaria a tempo pieno. La clientela e lo studio già avviato dal 1981 sono tutti fattori che sostengono a rinforzare e continuare sull’attività già presente. (…)” (doc. AI 28/11). Con decisioni 26 maggio 2008 (doc. AI 54/1-2, 55/1-2 e 56/1-2), preavvisate con progetto 14 marzo 2008 (doc. AI 44/1-3), viste le risultanze del rapporto 5 ottobre 2007 del dr. __________ (doc. AI 33/1-3), medico SMR, e del rapporto 10 marzo 2008 dell’ispettorato AI (doc. AI 41/1-3), l’Ufficio AI ha riconosciuto all’assicurato il diritto ad una mezza rendita dal 1. aprile 2005 al 31 gennaio 2007, ad una rendita intera dal 1. febbraio 2007 al 30 settembre 2007 e a una mezza rendita dal 1. ottobre 2007. 2.6.   In corso di causa l’Ufficio AI, viste le annotazioni 4 agosto 2008 della dr.ssa __________, medico psichiatra AI, del seguente tenore: " La Dr.ssa __________ pone nella sua perizia del 27.07.2007 la diagnosi di Episodio Depressivo di media gravità dal 2006 in disturbo bipolare tipo Il (ICD-10 F31.80) esistente presumibilmente dall'età di 20 anni, diagnosi contestata dallo psichiatra curante così come di Disturbo Borderline di personalità (ICD 10 F60.31) dall'età di 20 anni con aspetti dissociativi dalla morte del padre nel 2000. Lo psichiatra curante sostiene che non vi sia concordanza clinica nè per il disturbo Bipolare tipo Il ne' per il disturbo di personalità borderline. Il disturbo bipolare di tipo Il si caratterizza per uno o più Episodi Depressivi Maggiori accompagnati da almeno un episodio ipomaniacale secondo DSM TR IV. Un episodio ipomaniacale è definito come un periodo distinto durante il quale è presente un umore anormalmente e persistentemente elevato, espanso o irritabile che dura ininterrottamente per almeno 4 giorni (criteri A del DSM IV TR). Tale criterio indispensabile per porre diagnosi di episodio ipomaniacale non trova riscontro nella perizia della Dr.ssa med __________ dove la durata dell'ipomania viene stabilita di un giorno alla settimana e fino 2-3 giorni a settimana. Per quanto riguarda il disturbo di personalità Borderline, le caratteristiche essenziali secondo il DSM IV TR sono "... una modalità pervasiva di instabilità delle relazioni interpersonali, dell'autostima e dell'umore e una marcata impulsività che iniziano nella prima età adulta e sono presenti in una varietà di contesti." Anche in questo caso non vengono riportati un numero sufficiente di criteri per porre diagnosi di disturbo di Asse lI. Nella perizia (nell'ambito del capitolo sviluppo della malattia e risultati della terapia) inoltre si parla della presenza di una personalità depressiva che non viene poi più considerata. Le contestazioni del Dr med __________ attestate nel suo certificato del 04.06.2008 appaiono quindi pertinenti. Nella perizia non viene descritto un miglioramento clinico che permetta di comprendere la diversa attribuzione di CL del 50% dal momento della perizia rispetto al precedente IL del 80% e 100%. Nella perizia si legge che alla terapia antidepressiva con Efexor già iniziata nel 2005 ed opportunamente aumentata è stato aggiunto un altro antidepressivo a dose terapeutica nei quattro mesi antecedenti alla valutazione; di fronte a questo ulteriore potenziamento, non viene segnalata  una significativa modificazione del quadro psicopatologico tanto che lo stesso psichiatra curante sentito telefonicamente valuta che negli ultimi 3-4 mesi vi sia stato un leggero miglioramento. A mio giudizio quindi la perizia non appare compiutamente motivata e quindi vi è la necessità di ulteriori accertamenti a livello psichiatrico." (doc. IV/bis) ha proposto al TCA di retrocedere gli atti al fine di espletare i necessari accertamenti medici.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2.8.   Nell’evenienza concreta, richiamata la suesposta giurisprudenza in materia di valore probatorio di rapporti medici, questo Tribunale non intravede ragioni che gli impediscano di far proprie le conclusioni cui è giunta la dr.ssa __________, medico psichiatra AI, circa la necessità di ulteriori accertamenti a livello psichiatrico. La dr.ssa __________ si è infatti chinata sulle diagnosi poste dalla dr.ssa __________ e ha espresso un parere chiaro e convincente, senza cadere in contraddizioni, in merito alla necessità di ulteriori accertamenti a livello psichiatrico. Questa valutazione è stata del resto assunta dall’Ufficio AI che ha proposto la retrocessione degli atti. 2.9.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pag.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pag.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faccia esperire al più presto i necessari accertamenti medici al fine di chiarire sia l'aspetto diagnostico che le ripercussioni dei disturbi sulla capacità lavorativa del ricorrente. Quindi, in esito a tale complemento istruttorio, l’amministra-zione si determinerà nuovamente sul diritto alla rendita dell’assicurato. Quanto al rischio di una eventuale “reformatio in pejus” per costante giurisprudenza la sola eventualità di un peggioramento della situazione giuridica dell’interessato, dovuta all’annullamento di una precedente pronuncia giudiziale e/o decisione amministrativa e al rinvio degli atti per nuovi accertamenti e resa di una nuova decisione, non costituisce di per sé una reformatio in peius. La nostra Massima Istanza, nella STF del 10 dicembre 2007 nella causa M. (U 30/07), chiamata a pronunciarsi nel caso in cui l’autorità giudiziaria cantonale aveva annullato la decisione su opposizione e rinviato gli atti all’amministrazione affinché, previo espletamento degli accertamenti indicati, si pronunciasse nuovamente sul diritto a prestazioni, ha sviluppato, in particolare, la seguente considerazione: " (…) 2.2 Demgegenüber hat das kantonale Gericht mit in allen Teilen zutreffender Begründung, worauf verwiesen wird (Art. 36a Abs. 3 OG), richtig erkannt, dass in der von ihm angeordneten Rückweisung der Sache zur ergänzenden Sachverhaltsabklärung und Neubeurteilung des Anspruchs auf Invalidenrente und Integritätsentschädigung praxisgemäss keine reformatio in peius zu erblicken ist. Denn die blosse Möglichkeit einer Schlechterstellung der beschwerdeführenden Partei infolge Aufhebung des angefochtenen Entscheids oder der Verwaltungsverfügung verbunden mit Rückweisung zu ergänzender Sachverhaltsfeststellung sowie zu neuer Beurteilung der Sache gilt gemäss ständiger Rechtsprechung nicht als reformatio in peius (ARV 1995 Nr. 23 S. 138 E. 3a mit Hinweis auf ZAK 1988 S. 615 E. 2b; Urteile des Eidgenössischen Versicherungsgerichts I 668/03 vom 26. März 2004 und I 226/99 vom 15. Mai 2000), es sei denn, die Rückweisung an die Verwaltung habe mit Sicherheit eine Verschlechterung der Rechtsstellung des Beschwerdeführers zur Folge (ARV 1995 Nr. 23 S. 139 E. 3b; Urteil des Eidgenössischen Versicherungsgerichts M 11/05 vom 9. November 2006, E. 1.3). (...)" (STF del 10 dicembre 2007 in re M., U 30/07, consid. 2.2) In un’altra sentenza del 23 ottobre 2007 nella causa B. (9_C613/2007), il TF, proprio avuto riguardo all’art. 61 cpv. 1 lett. d LPGA, ha osservato che: " (…) 3.3.2 Die blosse Möglichkeit einer Schlechterstellung der Beschwerdeführerin infolge Aufhebung des Einspracheentscheides und Rückweisung zu ergänzender Sachverhaltsabklärung sowie neuer Verfügung an die IV-Stelle bedeutet keine reformatio in peius im Sinne von Art. 61 lit. d ATSG. Das Verfahren wird dadurch lediglich in den Zustand vor Erlass des Einspracheentscheides zurückversetzt. Der Ausgang des weiteren Verfahrens ist völlig offen, und die zu erlassende neue Verfügung ist in gleicher Weise anfechtbar, wie es die erste war (ARV 1995 Nr. 23 S. 138 E. 3a mit Hinweisen; Urteil C 259/03 vom 13. Februar 2004 E. 2). Daran ändern entgegen der Auffassung der Beschwerdeführerin die Erwägungen im angefochtenen Entscheid zur Frage der zweifellosen Unrichtigkeit der Verfügung vom 18. August 1999, mit welcher ihr eine ganze Rente ab 1. Mai 1999 zugesprochen wurde, nichts. Ihnen kommt im Sinne der Darlegungen in E. 2.2.2 hievor keine präjudizielle Bedeutung zu. Die Vorinstanz war daher nicht verpflichtet, sie auf die beabsichtigte Verfahrenserledigung aufmerksam zu machen und ihr Gelegenheit zum Rückzug der Beschwerde gegen den Einspracheentscheid zu geben. 3.3.3 Nach dem Gesagten ist die Rüge der Verletzung des Anspruchs auf Stellungnahme zu einer (behaupteten) beabsichtigten Schlechterstellung mit der Möglichkeit des Beschwerderückzugs unbegründet. Ein sofortiger Endentscheid kann somit nicht herbeigeführt werden. Auf die Beschwerde in öffentlich-rechtlichen Angelegenheiten kann daher auch aufgrund von Art. 93 Abs. 1 lit. b BGG nicht eingetreten werden. (...)" (STF del 23 ottobre 2007 in re B., 9C_613/2007 consid. 3.3.1, 3.3.2 e 3.3.3) Nel caso concreto, ribadita la necessità di ulteriori accertamenti medici specialistici al fine di chiarire sia l'aspetto diagnostico che le ripercussioni dei disturbi sulla capacità lavorativa, non è evidentemente possibile concludere che la nuova decisione che l’amministrazione è chiamata a rendere costituisca con certezza un peggioramento della situazione giuridica del ricorrente. In merito poi alla censura sollevata dall’avv. RA 1 di disparità di trattamento con coloro per i quali il necessario accertamento istruttorio è fatto dal Tribunale (X), giova ricordare che violano l'art. 8 Cost.fed. – oltre agli atti legislativi che non hanno un motivo serio o oggettivo, o che appaiono privi di senso o scopo – quelli che fanno delle distinzioni inammissibili, che non trovano cioè alcuna corrispondenza nelle diversità della fattispecie che la disciplina normativa vuole regolare, e quelli che – all'opposto – omettono di fare delle distinzioni, laddove la diversità delle circostanze da sottoporre alla norma impone, invece, di distinguere e che danno luogo quindi a una parificazione inammissibile (cfr. DTF 124 V 163; DTF 111 Ia 326 consid. 6; 109 Ia 327 consid. 4; 108 II 114 consid. 2b; 107 Ib 182 consid. 5a, 301; 100 Ia 75/76 consid. 4b; RtiD II-2004 N.14). Ora, nella misura in cui, come nel caso concreto, sono dati i presupposti per un rinvio degli atti per ulteriori accertamenti e resa di un nuovo provvedimento, non è possibile parlare di disparità di trattamento già per il fatto che le due situazioni sono diverse. Si tratta infatti di un giudizio reso da un’autorità giudiziaria e di un provvedimento da rendere in ambito amministrativo. Inoltre, la giurisprudenza sopraccitata – secondo la quale è possibile un rinvio degli atti allorquando la fattispecie è stata accertata lacunosamente e non è evidente che la decisione che l’amministrazione è chiamata a rendere costituisca con certezza un peggioramento della situazione giuridica – trova applicazione indistintamente ad ogni fattispecie e/o procedura che presenti dette caratteristiche. 2.10.   Di conseguenza, visto tutto quanto precede, le decisioni impugnate vanno annullate e gli atti rinviati all’Ufficio AI affinché, esperiti i necessari accertamenti medici, si pronunci nuovamente sul diritto a prestazioni dal 1. aprile 2005 al</w:t>
      </w:r>
    </w:p>
    <w:p>
      <w:r>
        <w:rPr>
          <w:b/>
        </w:rPr>
        <w:t>E. 31</w:t>
      </w:r>
    </w:p>
    <w:p>
      <w:r>
        <w:t>gennaio 2007 e dal 1. ottobre 2007 in avanti. 2.11. Vincente in causa, il ricorrente, patrocinato da un legale, ha diritto ad un’indennità per ripetibili (art. 61cpv. 1 lett. g LPGA). 2.12.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