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32.2007.97 vom 7. April 2008</w:t>
      </w:r>
    </w:p>
    <w:p>
      <w:r>
        <w:t>TI Tribunale d'appello, 2008-04-07, IT</w:t>
      </w:r>
    </w:p>
    <w:p>
      <w:r>
        <w:rPr>
          <w:b/>
        </w:rPr>
        <w:t xml:space="preserve">Quelle: </w:t>
      </w:r>
      <w:r>
        <w:t>https://mcp.opencaselaw.ch/entscheid/ti_gerichte_32.2007.97</w:t>
      </w:r>
    </w:p>
    <w:p>
      <w:r>
        <w:t>FR: TI_GERICHTE 32.2007.97 du 7 avril 2008</w:t>
      </w:r>
    </w:p>
    <w:p>
      <w:r>
        <w:t>IT: TI_GERICHTE 32.2007.97 del 7 aprile 2008</w:t>
      </w:r>
    </w:p>
    <w:p>
      <w:pPr>
        <w:pStyle w:val="Heading2"/>
      </w:pPr>
      <w:r>
        <w:t>Regeste</w:t>
      </w:r>
    </w:p>
    <w:p>
      <w:r>
        <w:t>Visto il pieno accordo tra il curante e il medico SMR e ritenuta un'abilità totale nella sua precedente attività, a ragione l'UAI ha negato all'assicurato il diritto a una riformazione e ad una rendita.Nessun aiuto al collocamento perché la ricerca di un lavoro non é intralciata per motivi di salute</w:t>
      </w:r>
    </w:p>
    <w:p>
      <w:pPr>
        <w:pStyle w:val="Heading2"/>
      </w:pPr>
      <w:r>
        <w:t>Erwägungen</w:t>
      </w:r>
    </w:p>
    <w:p>
      <w:r>
        <w:rPr>
          <w:b/>
        </w:rPr>
        <w:t>E. 10</w:t>
      </w:r>
    </w:p>
    <w:p>
      <w:r>
        <w:t>marzo 2006 l’assicurato ha infatti precisato che “(…) non ho mai menzionato una richiesta per il conseguimento di una rendita d’invalidità (…)” (doc. AI 15/1). 2.4.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2.5.   L’art. 17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pacificabile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2.6.   L’art. 18 LAI prevede in particolare che: " 1 Gli assicurati invalidi, idonei all'integrazione, hanno diritto a un sostegno attivo nella ricerca di un posto di lavoro conveniente nonché a una consulenza costante al fine di conservare il loro posto di lavoro. Sussidi possono essere assegnati per le spese in abiti di lavoro e in utensili personali connesse con l'assunzione di un'attività lucrativa dipendente e per le spese di trasloco a causa dell'invalidità. 2 Un aiuto in capitale può essere assegnato agli assicurati invalidi idonei all'integrazione, affinché possano avviarsi a un'attività lucrativa indipendente o svilupparla e per finanziare trasformazioni aziendali a causa dell'invalidità. Il Consiglio federale ne stabilisce le condizioni e le forme." L’art. 18 LAI prima frase (nel tenore in vigore dal 1° gennaio 2004) dispone che g li assicurati invalidi, idonei all’integrazio-ne, hanno diritto a un sostegno attivo nella ricerca di un posto di lavoro conveniente nonché a una consulenza costante al fine di conservare il loro posto di lavoro. Rispetto al vecchio art. 18 LAI prima frase (“Agli assicurati invalidi, idonei all’integrazione, è procurato, per quanto possibile, un lavoro conveniente” ), la nuova disposizione precisa il carattere più obbligatorio della misura e pone un particolare accento anche sull’aspetto di prevenzione della disoccupazione di assicurati invalidi (Cattaneo, “La promozione dell’au-tonomia del disabile: esempi scelti dalle assicurazioni sociali”, in RDAT 2003-II pag. 595). L’applicazione di tale articolo presuppone che l’assicurato sia invalido ai sensi dell’art. 4 cpv. 1 LAI (sia nella versione in vigore sino al 31 gennaio 2002 che in quella valida dal 1° gennaio 2003 in relazione con gli artt. 7 e 8 LPGA).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273). Il Tribunale federale delle assicurazioni (TFA, dal 1 gennaio 2007 Tribunale federale) ha poi precisato che siccome il servizio di collocamento non rappresenta un provvedimento d’integrazione particolarmente costoso, per motivarne il diritto è sufficiente avere, nella ricerca di un nuovo posto di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in merito alla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posto di lavoro (Pratique VSI 2003 pag. 273; critico Cattaneo, op. cit., RDAT 2003 I pag. 598). 2.7.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2.8.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Sozialversicherungsrechts,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2.9.   Nel caso concreto il dr. __________, FMH in medicina interna, nel rapporto medico 25 luglio 2005 (doc. AI 7/1-3), posta la diagnosi di “(…) poliartrosi delle mani (Heberden II-V bilat.) – disturbi statici dei piedi (piede piano traverso anteriore) – problemi psichici a causa della disoccupazione (…)” (doc. AI 7/1), ha attestato un’incapacità lavorativa dello 0% nella sua attività di funzionario di banca e una capacità lavorativa normale in un’altra attività senza sforzi manuali. Il dr. __________, FMH in reumatologia e medicina interna, nel rapporto 2 dicembre 2004 indirizzato al dr. __________ (doc. AI 7/4-5), posta la diagnosi di “(…) poliartrite delle mani – piede piano traverso anteriore (…)” (doc. AI 7/4), ha concluso che: " (…) Se da una parte la problematica è evidente, dall'altra questa non permette di ritenere una incapacità lavorativa in questo ex funzionario bancario di rango relativamente alto, in disoccupazione da 4 anni. Dal lato terapeutico si tratta di conservare soprattutto la normale mobilità delle mani, ciò che per il momento non necessita di una terapia particolare. Localmente si può ricorrere all'uso di AINS o steroidi topici (per es. Elocom crema) durante i periodi più dolorosi. E' consigliata una terapia di Condrosulf 800 mg/dì a lungo termine, della durata di almeno un anno. Consiglierei inoltre di prescrivere al paz. un trattamento ergoterapico di training funzionale e motorio, istruzione della protezione articolare ed ergonomia, bagni di paraffina. Questa terapia potrà inoltre essere ripetuta 1-2 volte all'anno in caso di buona risposta clinica. (…)." (doc. AI 7/5) Nelle annotazioni 9 febbraio 2006 (doc. AI 13/1) il dr. __________, medico SMR, ha espresso la seguente valutazione: " (…) Ex procuratore di banca fino 1.4.2001 senza nozione di assenze per malattia fino allora. Attualmente in disoccupazione dove si esprime per totale abilità nell'incarto diso. Poliartrosi della piccole articolazioni raggio II-V mani bilaterali Disturbi statici ai piedi Sia il medico curante dr. __________ 7.2005 che dr. __________ reumatologo 12.2004 si esprimono per esigibilità lavorativa totale in attività di tipo leggero con possibili cambiamenti di posizione al bisogno. Personalmente riterrei coerente una minima limitazione del 10% circa in attività dove si debba scrivere regolarmente sull'arco di tutta la giornata lavorativa. Nell'attività svolta antecedentemente personalmente non reputo esserci una limitazione essendo leggera ergonomicamente e non essendo necessaria manualità costante e ripetitiva." (doc. AI 13/1) Il 6 aprile 2006 il dr. __________ ha scritto all’Ufficio AI una lettera del seguente tenore: " (…) visto il lento ma continuo peggioramento della poliartrosi interfalangeale distale delle dita, chiedo che il signor RI 1 sia convocato per una visita medica da parte di un medico AI per rivalutare il diritto a prestazioni reintegrative (non rendita). (…)." (doc. AI 19/1) Al riguardo il dr. __________, nelle annotazioni 15 gennaio 2007, ha osservato che “(…) il nuovo scritto del medico curante dr. __________ del 4.2006 non permette a mio giudizio di modificare la precedente presa di posizione riguardo le lievi limitazioni conosciute a livello medico.” (doc. AI 21/1). Il 22 gennaio 2007 l’Ufficio AI, con copia per conoscenza al dr. __________, ha scritto all’assicurato una lettera del seguente tenore: " (…) tramite decisione del 13 febbraio 2006 l'Ufficio AI, al termine di una ben precisa istruttoria, si è espresso in merito alla sua richiesta di prestazioni AI. Con opposizione del 10 marzo 2006 lei ha contestato la decisione facendo valere un peggioramento dello stato di salute. L'opposizione è stata completata dallo scritto 6 aprile 2006 del Dr. med. __________, il quale ha chiesto all'Ufficio AI di convocarla per una visita medica. Ritenuto che nell'ambito della procedura di opposizione, spetta all'assicurato fornire le prove atte a giustificare una diversa valutazione del caso, la invitiamo a volerci trasmettere la documentazione medica oggettivante il peggioramento dello stato di salute entro un termine di 20 giorni. In caso contrario, lo scrivente Ufficio procederà all'emissione della decisione su opposizione in base agli elementi all'incarto. (…)." (doc. AI 22/1) Con scritto 8 febbraio 2007 l’assicurato ha preso posizione sulla lettera 22 gennaio 2007 dell’Ufficio AI senza produrre ulteriore documentazione medica (doc. AI 23/1). 2.10.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2.11.   Dopo attenta analisi degli atti questa Corte ritiene che, conformemente alla giurisprudenza in materia di valore probatorio di rapporti medici (consid. 2.10), a ragione l’Ufficio AI, sulla base della documentazione medica sopra esposta (consid. 2.9, in particolare le valutazioni del medico SMR espresse nelle annotazioni 9 febbraio 2006 e 15 gennaio 2007 sub doc. AI 13/1 e 21/1), ha concluso che l’assicurato è totalmente abile al lavoro nella sua precedente attività . Al riguardo va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Ciò deve quindi a maggior ragione valere in caso di pieno accordo tra parere del medico curante e valutazione del SMR, come nel caso di specie. In particolare non è possibile concludere differentemente anche avuto riguardo alla lettera 6 aprile 2006 del dr. __________ indirizzata all’Ufficio AI. Infatti il dr. __________, oltre a non pronunciarsi sulla capacità lavorativa, non documenta in alcun modo e nemmeno adduce in cosa sia consistito l’asserito peggioramento della poliartrosi interfalangeale distale delle dita limitandosi a chiedere che il suo paziente venga convocato per una visita medica da parte di un medico AI.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 quanto riguarda la “(…) permanente stanchezza fisica e psichica (…)” (doc. I) e i “(…) problemi psico-fisici (…)” (doc. VI), il TCA rileva che agli atti non figura alcun attestato medico da parte di uno specialista che, conformemente alla giurisprudenza citata (cfr. consid. 2.8 e 2.10), giustifichi un’incapa-cità lavorativa riconducibile a problemi di natura extra somatica. Ritenuta dunque un’abilità totale al lavoro nella sua precedente attività (con una riduzione massima del 10% in attività richiedenti l’uso delle mani in maniera regolare; cfr. doc. AI 13/1) e conformemente alla giurisprudenza citata (cfr. consid. 2.5), a ragione l’Ufficio AI ha negato all’assicurato il diritto ad una riformazione professionale. Parimenti, in corretta applicazione della giurisprudenza citata (consid. 2.6), pure a ragione l’amministrazione gli ha negato il diritto ad un aiuto al collocamento. Non è infatti a causa del danno alla salute che l’assicurato è intralciato nella ricerca di un lavoro: “(…) ho lavorato per 36 anni presso il __________, gli ultimi 15-20 nel settore finanziario come cambista nel mercato monetario. Causa un mio errore, persi il lavoro nel 2001, senza mai più trovare un impiego, sia per l’età, sia per la crisi economica e le ristrutturazioni. Per esercitare altri impieghi, manca l’esperienza e se del caso non si può essere sopra i 45. (…)” (doc. AI 23/1, sottolineatura del redattore). In simili circostanze, visto tutto quanto precede, la decisione impugnata va pertanto confermata e il ricorso respinto. Il TCA rileva ancora che nel 2005 l’assicurato era al beneficio di prestazioni sociali da parte dell’Ufficio del sostegno sociale e dell’inserimento (doc. AI 8/2 e 12/1). Al riguardo va qui segnalato che nella Legge sull’assistenza sociale dell’8 marzo 1971 (Las) esistono delle misure finalizzate all’inserimento sociale e professionale (cfr. art. 31a segg. Las e le Direttive della Conferenza svizzera delle istituzioni dell’azione sociale [COSAS] p.ti D3, H7).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