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32.2007.365 vom 6. August 1998</w:t>
      </w:r>
    </w:p>
    <w:p>
      <w:r>
        <w:t>TI Tribunale d'appello, 1998-08-06, IT</w:t>
      </w:r>
    </w:p>
    <w:p>
      <w:r>
        <w:rPr>
          <w:b/>
        </w:rPr>
        <w:t xml:space="preserve">Quelle: </w:t>
      </w:r>
      <w:r>
        <w:t>https://mcp.opencaselaw.ch/entscheid/ti_gerichte_32.2007.365_d19980806</w:t>
      </w:r>
    </w:p>
    <w:p>
      <w:r>
        <w:t>FR: TI_GERICHTE 32.2007.365 du 6 août 1998</w:t>
      </w:r>
    </w:p>
    <w:p>
      <w:r>
        <w:t>IT: TI_GERICHTE 32.2007.365 del 6 agosto 1998</w:t>
      </w:r>
    </w:p>
    <w:p>
      <w:pPr>
        <w:pStyle w:val="Heading2"/>
      </w:pPr>
      <w:r>
        <w:t>Regeste</w:t>
      </w:r>
    </w:p>
    <w:p>
      <w:r>
        <w:t>UAI ha correttamente ridotto,dopo la temporanea attribuzione d'una rendita intera,le prestazioni a favore dell'interessata:esse non vanno tuttavia ridotte a 1/2 rendita,bensì a 3/4 di rendita dal 4/07,dato che dal raffronto dei redditi,in attività adatte esigibili al 50%,è emerso un grado AI del 64%</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133 V 108, 125 V 369 consid.</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w:t>
      </w:r>
    </w:p>
    <w:p>
      <w:r>
        <w:rPr>
          <w:b/>
        </w:rPr>
        <w:t>E. 2.1</w:t>
      </w:r>
    </w:p>
    <w:p>
      <w:r>
        <w:t>Die Frage, ob die von der IV-Stelle angenommene, bloss 50%ige Einschränkung der Arbeitsfähigkeit angesichts der zahlreichen somatischen Befunde (beidseitige Knie- und Rückenbeschwerden, dilatative Kardiomyopathie [Herzmuskelerkrankung], Amaurose links), deren Berücksichtigung bei der Beurteilung der verbliebenen Arbeitsfähigkeit nur teilweise gesichert ist, den konkreten Verhältnissen gerecht zu werden vermag, liess das kantonale Gericht in seinem Entscheid vom 5. August 2008 trotz erheblichen Zweifeln offen. Zur Zusprechung einer ganzen Invalidenrente und damit zur Gutheissung des von ihm zu prüfenden Rechtsmittels gelangte es bereits, weil es der Auffassung war, im Rahmen eines Einkommensvergleichs sei bei der Bestimmung des Invalideneinkommens ein höherer als der von der Verwaltung angenommene behinderungsbedingte Abzug von den in der LSE statistisch ausgewiesenen Löhnen zuzubilligen. Dabei hat es in seinem Entscheid dargelegt, die IV-Stelle habe einzig wegen dem unabdingbaren Erfordernis einer körperlich leichten, wechselseitigen Tätigkeit einen Abzug von 15 % gewährt; wegen der vielschichtigen Polymorbidität müsse aber mit einem weit unterdurchschnittlichen Einkommen gerechnet werden, weshalb sich der nach der Rechtsprechung maximal zulässige behinderungsbedingte Abzug von 25 % ( BGE 126 V 75 E. 5b/cc S. 80) rechtfertige.</w:t>
      </w:r>
    </w:p>
    <w:p>
      <w:r>
        <w:rPr>
          <w:b/>
        </w:rPr>
        <w:t>E. 2.2</w:t>
      </w:r>
    </w:p>
    <w:p>
      <w:r>
        <w:t>Die Vorinstanz hat damit entgegen der Argumentation in der Beschwerdeschrift ihr Ermessen nicht missbraucht, sondern sogar triftige Gründe für ihre von der Ansicht der Verwaltung abweichende Ermessensausübung angeführt. Angesichts der dem Bundesgericht bezüglich der Höhe eines behinderungsbedingten Abzuges zustehenden Überprüfungsbefugnis besteht kein Anlass zu einer Korrektur des angefochtenen Entscheids.” Nel caso di specie, questo Tribunale ritiene che la riduzione del 5% stabilita dall’UAI non sia sufficiente, per i motivi che seguono. Il TCA rileva innanzitutto che, nella presente fattispecie, a dipendenza del danno alla salute, l'assicurata è stata sì giudicata in grado di esercitare un'attività sostitutiva, ma soltanto nella misura del 50%.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 nel caso di specie quantificata al 10% (contrariamente a quanto ritenuto dai primi giudici, che avevano considerato corretta una riduzione del 9%) - nel caso in cui l’assicurato sia in grado di svolgere un’attività adeguata unicamente a tempo parziale. Tale riduzione deve essere stabilita in maniera precisa. In conformità alla giurisprudenza appena citata, potendo l’assicurata lavorare in attività adeguate solo al 50%, a mente del TCA occorre applicare una riduzione del reddito statistico del 10% per tener conto del fatto che lavorando a tempo parziale l’interessata può percepire un salario inferiore rispetto ad una persona impiegata al 100%.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Anche nella presente fattispecie, il TCA ritiene corretto applicare una riduzione del 10% per tenere conto degli impedimenti funzionali derivanti dal danno alla salute dell’interessata. Tutto ben considerato, quindi, conformemente alla giurisprudenza citata in precedenza, il TCA è dell’avviso che con una riduzione globale del 20% per gli impedimenti funzionali derivanti dal danno alla salute si tenga adeguatamente conto delle specifiche circostanze del caso concreto. Procedendo quindi al raffronto dei redditi, con riferimento al 2007, partendo da un salario da invalido di fr. 51'026.50 e ritenuta un’esigibilità dal profilo medico del 50%, ammettendo la riduzione del 20%, il reddito ipotetico dell’insorgente ammonta, quindi, a fr. 20'410.60 (fr. 25’513.25 - (fr. 25’513.25 x 20 : 100)) . C onfrontando ora questo dato con l’ammontare del reddito da valido nel medesimo anno di fr. 56’882 (consid. 2.13.), emerge un tasso d’invalidità del 64.11%, arrotondato al 64% secondo la giurisprudenza di cui alla DTF 130 V 121 consid. 3.2. = SVR 2004 UV Nr. 11 pag. 41), percentuale che dà diritto a tre quarti di rendita di invalidità e non soltanto a mezza rendita, come stabilito dall'amministrazione. Pertanto, stante quanto sopra esposto, questo Tribunale non può che ritenere corretto procedere ad una riduzione delle prestazioni, dopo la temporanea attribuzione di una rendita intera di invalidità dal 1° luglio 2005 al 31 marzo 2007. Queste ultime non vanno tuttavia ridotte ad una mezza rendita dal 1° aprile 2007, bensì a tre quarti di rendita, per un grado di invalidità del 64%, a partire dal 1° aprile 2007 (al riguardo va evidenziato che la riduzione delle prestazioni, per un grado di invalidità del 64%, va fatto risalire al mese di aprile 2007, in quanto giusta l’art. 88a OAI s 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In concreto, il dr. __________ ha dichiarato l’assicurata temporaneamente inabile al lavoro al 100% fino al mese di dicembre 2006 a causa dei problemi alla spalla destra, ma poi abile al 50% nella sua professione e al 100% in attività adeguate, a partire dal 1° gennaio 2007, cfr. doc. 81-13). 2.17.   Parzialmente vincente in causa, la ricorrente, patrocinata da un sindacato, ha diritto a un'indennità per ripetibili parziali da mettere a carico dell’UAI (cfr. art. 61 cpv. 1 lett. g LPGA; DTF 122 V 278; DTF 118 V 139). 2.18.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150.-- a carico dell’Ufficio AI e di fr. 50.-- a carico della ricorrente.</w:t>
      </w:r>
    </w:p>
    <w:p>
      <w:r>
        <w:rPr>
          <w:b/>
        </w:rPr>
        <w:t>E. 2.3</w:t>
      </w:r>
    </w:p>
    <w:p>
      <w:r>
        <w:t>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w:t>
      </w:r>
    </w:p>
    <w:p>
      <w:r>
        <w:rPr>
          <w:b/>
        </w:rPr>
        <w:t>E. 2.4</w:t>
      </w:r>
    </w:p>
    <w:p>
      <w:r>
        <w:t>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w:t>
      </w:r>
    </w:p>
    <w:p>
      <w:r>
        <w:rPr>
          <w:b/>
        </w:rPr>
        <w:t>E. 2.5</w:t>
      </w:r>
    </w:p>
    <w:p>
      <w:r>
        <w:t>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w:t>
      </w:r>
    </w:p>
    <w:p>
      <w:r>
        <w:rPr>
          <w:b/>
        </w:rPr>
        <w:t>E. 2.5.1</w:t>
      </w:r>
    </w:p>
    <w:p>
      <w:r>
        <w:t>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2.16.   In concreto, l’UAI ha applicato al reddito da invalido una riduzione percentuale del 5% per tenere conto di “lievi limitazioni funzionali” (doc. 86-1). Va qui rilevato che, per costante giurisprudenza, il Giudice non può scostarsi dalla valutazione dell’amministrazione senza fondati motivi (cfr. DTF 126 V 80 consid. 5b/dd e 6). Egli può tuttavia farlo in presenza di validi motivi. Ad esempio, in una sentenza 8C_675/2008 del 22 ottobre 2008, il Tribunale federale ha confermato, visti i validi motivi addotti dall’istanza cantonale, l’aumento della percentuale di riduzione del salario statistico decisa dal primo giudice per tenere adeguatamente conto delle circostanze specifiche del caso concreto, osservando: " 2.</w:t>
      </w:r>
    </w:p>
    <w:p>
      <w:r>
        <w:rPr>
          <w:b/>
        </w:rPr>
        <w:t>E. 2.6</w:t>
      </w:r>
    </w:p>
    <w:p>
      <w:r>
        <w:t>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w:t>
      </w:r>
    </w:p>
    <w:p>
      <w:r>
        <w:rPr>
          <w:b/>
        </w:rPr>
        <w:t>E. 2.7</w:t>
      </w:r>
    </w:p>
    <w:p>
      <w:r>
        <w:t>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w:t>
      </w:r>
    </w:p>
    <w:p>
      <w:r>
        <w:rPr>
          <w:b/>
        </w:rPr>
        <w:t>E. 4</w:t>
      </w:r>
    </w:p>
    <w:p>
      <w:r>
        <w:t>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Questa giurisprudenza è stata recentemente confermata dall’Alta Corte nella sentenza 9C_830/2007 del 27 luglio 2008, vedi anche la sentenza 9C_382/2008 del 22 luglio 2008.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