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32.2006.152 vom 18. April 2007</w:t>
      </w:r>
    </w:p>
    <w:p>
      <w:r>
        <w:t>TI Tribunale d'appello, 2007-04-18, IT</w:t>
      </w:r>
    </w:p>
    <w:p>
      <w:r>
        <w:rPr>
          <w:b/>
        </w:rPr>
        <w:t xml:space="preserve">Quelle: </w:t>
      </w:r>
      <w:r>
        <w:t>https://mcp.opencaselaw.ch/entscheid/ti_gerichte_32.2006.152</w:t>
      </w:r>
    </w:p>
    <w:p>
      <w:r>
        <w:t>FR: TI_GERICHTE 32.2006.152 du 18 avril 2007</w:t>
      </w:r>
    </w:p>
    <w:p>
      <w:r>
        <w:t>IT: TI_GERICHTE 32.2006.152 del 18 aprile 2007</w:t>
      </w:r>
    </w:p>
    <w:p>
      <w:pPr>
        <w:pStyle w:val="Heading2"/>
      </w:pPr>
      <w:r>
        <w:t>Regeste</w:t>
      </w:r>
    </w:p>
    <w:p>
      <w:r>
        <w:t>Assicurata con problemi psichiatrici non ritenuti invalidanti sino al momento della decisione contestata. Rinvio atti per revisione della rendita. Violazione del diritto di essere sentito, in casu negata.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dicembre 2006 (X/1). Gli atti vanno quindi trasmessi all’Ufficio AI, affinché si pronunci sulla nuova domanda. In conclusione, visto quanto sopra, rettamente l’Ufficio AI ha negato all’assicurata il diritto a prestazioni assicurative. Ne consegue la conferma della decisione amministrativa e la reiezione del ricorso. 2.12.   Dal 1° luglio 2006, applicabile ai ricorsi entrati dopo quella data, la procedura ricorsuale davanti al TCA, in ambito AI, non è più gratuita. L’art. 69 cpv. 1bis LAI dispone infatti che la procedura di ricorso in caso di controversie relative all’assegnazione o al rifiuto di prestazioni dinanzi al tribunale cantonale delle assicurazione è soggetta a spese. L’entità delle spese è determinata fra 200 e 1000 franchi in funzione delle spese di procedura e senza riguardo al valore litigioso. Tale norma è applicabile ai ricorsi inoltrati dal 1° luglio 2006 in avanti. Nel caso in esame, risultando l’assicurata parte soccombente, alla stessa sono da porre a carico fr. 200 di spese.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