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32.2006.137 vom 18. Juli 2007</w:t>
      </w:r>
    </w:p>
    <w:p>
      <w:r>
        <w:t>TI Tribunale d'appello, 2007-07-18, IT</w:t>
      </w:r>
    </w:p>
    <w:p>
      <w:r>
        <w:rPr>
          <w:b/>
        </w:rPr>
        <w:t xml:space="preserve">Quelle: </w:t>
      </w:r>
      <w:r>
        <w:t>https://mcp.opencaselaw.ch/entscheid/ti_gerichte_32.2006.137</w:t>
      </w:r>
    </w:p>
    <w:p>
      <w:r>
        <w:t>FR: TI_GERICHTE 32.2006.137 du 18 juillet 2007</w:t>
      </w:r>
    </w:p>
    <w:p>
      <w:r>
        <w:t>IT: TI_GERICHTE 32.2006.137 del 18 luglio 2007</w:t>
      </w:r>
    </w:p>
    <w:p>
      <w:pPr>
        <w:pStyle w:val="Heading2"/>
      </w:pPr>
      <w:r>
        <w:t>Regeste</w:t>
      </w:r>
    </w:p>
    <w:p>
      <w:r>
        <w:t>Riduzione della rendita di un assicurato che ha cambiato attività lucrativa, percependo un salario maggiore di quello precedente. Non trattandosi di salario sociale, l'Ufficio AI ha giustamente considerato il salario quale reddito da invalido</w:t>
      </w:r>
    </w:p>
    <w:p>
      <w:pPr>
        <w:pStyle w:val="Heading2"/>
      </w:pPr>
      <w:r>
        <w:t>Erwägungen</w:t>
      </w:r>
    </w:p>
    <w:p>
      <w:r>
        <w:rPr>
          <w:b/>
        </w:rPr>
        <w:t>E. 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consid. 3.5, 113 V 275 consid. 1a, 109 V 116, 105 V 30). Affinché sia possibile la revisione di una rendita AI è dunque necessario che le condizioni cliniche e/o economiche dell'assicurato abbiano subito una modifica, tale da influire sulla perdita di guadagno.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130 V 351 consid. 3.5.2, 125 V 369 consid. 2 con riferimenti, 109 V 262, 105 V 30; Meyer-Blaser, Rechtsprechung des Bundesgerichts zum IVG, Zurigo 1997, pag. 258). 2.5.   Nel caso in esame, pacifico è che, rispetto alla precedente decisione di rendita, la situazione medica dell’assicurato è rimasta invariata. Motivo delle presente revisione è tuttavia la modifica del reddito da invalido, il cui importo di fr. 26'181 è stato posto in raffronto con il reddito da valido di fr. 63'450, risultando così un grado d’invalidità del 59%. Il ricorrente sostiene che lo stipendio di fr. 26'181 è da ritenere un’entrata eccezionale, rilevando che suo cugino, anch’egli dipendente della __________, si è impegnato a seguirlo durante il lavoro. Riguardo al reddito da invalido, va precisato che lo stesso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Orbene, è vero che secondo la giurisprudenza si deve presumere che il salario corrisponde alla prestazione effettuata (DTF 117 V 18). Ciò non esclude comunque che, in particolari circostanze, la retribuzione dichiarata dal datore di lavoro non comprenda anche un salario sociale (cfr. ad esempio SVR 2002 IV Nr. 28). 2.6.   Quanto percepito dal ricorrente dalla __________ non può essere considerato salario sociale ed è quindi computabile quale reddito da invalido. Non va dimenticato che con il 1° luglio 2005 il suo datore di lavoro aveva dichiarato un salario commisurato al rendimento di fr. 26'180,74; senza il danno alla salute l’assicurato avrebbe potuto percepire fr. 52'361,48 (doc. AI 23). Inoltre, negli anni 2003, 2004 e 2005 la __________ ha concordato con l’assicurato una paga oraria ridotta, motivata dalla limitata capacità lavorativa (doc. AI 23- 9/10/11). Certo che in merito all’attività svolta, nel questionario compilato il 1° luglio 2005 – successivamente ribadito con scritto 14 settembre 2005 (doc. AI 35-4) -, il datore di lavoro ha evidenziato che l’assicurato non è indipendente e che necessita di una continua sorveglianza da parte del capo-gruppo. Tuttavia, le succitate circostanze non permettono di non ritenere quanto percepito dall’interessato conforme al suo rendimento. Come rettamente evidenziato dall’Ufficio AI nello scritto 27 giugno 2007, diverso sarebbe se l’assicurato, nonostante la prestazione lavorativa ridotta al 50%, avesse ricevuto un salario spettante ad un manovale con orario di lavoro a tempo pieno. In quel caso, la metà andrebbe considerata quale salario sociale e non come reddito da invalido. Contrariamente a quanto sostenuto nel ricorso, quanto percepito dall’__________ nel 2003 non è stata un’entrata straordinaria, difficilmente ripetibile. Dall’estratto del conto individuale richiesto dal TCA all’Ufficio AI, si evince infatti come nel 2005 il ricorrente abbia percepito un salario AVS di fr. 24'600, aumentato a fr. 27'536 nel 2006 (doc. XI). L’amministrazione ha invece giustamente ritenuto quale salario sociale i fr. 762 al mese che l’assicurato aveva percepito nel 1999 e nel 2000 dall’azienda agricola __________, oggetto della precedente revisione, continuando di conseguenza a versare la rendita intera. Nel relativo questionario del datore di lavoro, compilato il 6 febbraio 2001, l’azienda aveva spiegato il motivo per cui tale remunerazione era superiore al rendimento (doc. AI 18-2). Del resto, nel già citato scritto 27 giugno 2007 l’Ufficio AI ha evidenziato che “un rapido calcolo economico conferma quanto allora ritenuto, ovvero l’ininfluenza di tali redditi sulla rendita assegnata sino ad allora” (doc. XI). Visto quanto sopra, l’Ufficio AI ha rettamente ridotto la rendita (cfr. consid. 2.5). Va infine ricordato al ricorrente, qualora con la rendita AI non possa più far fronte al proprio fabbisogno minimo, la possibilità di richiedere, tramite l’Agenzia AVS del comune di domicilio, una prestazione complementare.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Essendo il ricorrente soccombente, le spese per complessivi fr. 200.-- sono poste a suo carico.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