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32.2006.125 vom 17. Juli 2007</w:t>
      </w:r>
    </w:p>
    <w:p>
      <w:r>
        <w:t>TI Tribunale d'appello, 2007-07-17, IT</w:t>
      </w:r>
    </w:p>
    <w:p>
      <w:r>
        <w:rPr>
          <w:b/>
        </w:rPr>
        <w:t xml:space="preserve">Quelle: </w:t>
      </w:r>
      <w:r>
        <w:t>https://mcp.opencaselaw.ch/entscheid/ti_gerichte_32.2006.125</w:t>
      </w:r>
    </w:p>
    <w:p>
      <w:r>
        <w:t>FR: TI_GERICHTE 32.2006.125 du 17 juillet 2007</w:t>
      </w:r>
    </w:p>
    <w:p>
      <w:r>
        <w:t>IT: TI_GERICHTE 32.2006.125 del 17 luglio 2007</w:t>
      </w:r>
    </w:p>
    <w:p>
      <w:pPr>
        <w:pStyle w:val="Heading2"/>
      </w:pPr>
      <w:r>
        <w:t>Regeste</w:t>
      </w:r>
    </w:p>
    <w:p>
      <w:r>
        <w:t>A mente del TCA non tutte le patologie di cui è affetto l'assicurato sono state sufficientemente approfondite, con riferimento in particolare all'affezione psichiatrica.Rinvio atti all'UAI per un complemento istruttorio e nuova decisione, previa valutazione globale dell'incapacità lavorativa</w:t>
      </w:r>
    </w:p>
    <w:p>
      <w:pPr>
        <w:pStyle w:val="Heading2"/>
      </w:pPr>
      <w:r>
        <w:t>Erwägungen</w:t>
      </w:r>
    </w:p>
    <w:p>
      <w:r>
        <w:rPr>
          <w:b/>
        </w:rPr>
        <w:t>E. 26</w:t>
      </w:r>
    </w:p>
    <w:p>
      <w:r>
        <w:t>novembre 2001 nella causa R., U 257/01; STFA del 15 novembre 2001 nella causa P., U 82/01; STFA del 28 giugno 2001 nella causa G., I 11/01; RCC 1986 p. 202 consid. 2d; STFA del 27 ottobre 1992 nella causa B. 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2.9. Dopo attento esame degli atti, questo Tribunale ritiene che la documentazione medica su cui si è fondata l’amministrazione difetta della necessaria forza probante e non può pertanto essere posta alla base di un giudizio senza che prima si proceda ad un complemento istruttorio. Se da una parte risultano accurate e approfondite le valutazioni pneumologica-neurologica-reumatologica eseguite nell’ambito della perizia SAM – peraltro non contestate dall’assicurato – cui va quindi attribuito pieno valore probatorio, dall’altra risulta controversa la valutazione dell’aspetto psichiatrico. A mente del perito psichiatra, dr. __________, l’assicurato sarebbe affetto da uno stile caratteriale di tipo nevrotico caratterizzato da una prevalente matrice ossessiva (ICD 10-F60.5) e da una sofferenza psicoastenica associata ad una sindrome del dolore cronico a carattere fibromialgico, che riducono la sua capacità lavorativa nella misura del 20% (doc. AI 24/20-24). Di diverso avviso lo specialista curante, dr. __________, secondo il quale il grado di inabilità lavorativa dell’interessato nella sua professione è del 50%, ponendo la diagnosi di una chiara sindrome depressiva in connessione con una sindrome da dolore cronico (cfr. doc. AI 40/1-2 e 40-3 e doc. B1). A fronte della divergenza di opinione fra il perito psichiatra e lo specialista curante, il dr. __________ del SMR, nelle sue annotazioni 29 maggio 2006, osservava che “ i l rapporto medico del dr. __________ del 10.3.2006 non apporta elementi medici nuovi suscettibili di modificare la mia valutazione anteriore. In particolare, non vengono citate nuove diagnosi, né specificato un chiaro peggioramento dello stato di salute ” (doc. AI 43-1). Tali conclusioni del SMR non possono essere fatte proprie da parte di questo Tribunale: a fronte di diagnosi almeno in parte diverse, che portano a gradi di abilità lavorativa residua notevolmente diversi, l’amministrazione avrebbe dovuto approfondire la tematica psichiatrica, tramite nuovi puntuali accertamenti, prima di potersi esprimere in merito. Inoltre, occorre rilevare che l’affermazione del dr. __________ circa il fatto che l’adattamento della psicofarmacoterapia decisa dal dr. __________ “ sembra in relazione diretta con la decisione di rifiuto di rendita, come descritto dal dr. __________ e può essere stato reso necessario da una sindrome depressiva reattiva alla notizia ricevuta ” (doc. AI 43-1, sottolineatura della redattrice) non può essere seguita, perlomeno senza prima procedere ad ulteriori approfonditi accertamenti. La patologia psichiatrica dell’interessato, difatti, potrebbe essere peggiorata indipendentemente dalla decisione di rifiuto dell’amministrazione. Nel suo scritto 10 marzo 2006 il dr. __________ ha rilevato che la visita 7 ottobre 2005 (effettuata pochi giorni dopo la ricezione della decisione negativa da parte dell’AI) aveva lo scopo di individuare una farmacoterapia più incisiva per la condizione depressiva del paziente, obiettivo che non aveva potuto essere perseguito a causa della condizione emotiva fortemente perturbata dell’assicurato. Un tale obiettivo era stato verosimilmente fissato a causa dell’esistenza di un peggioramento della patologia, necessitante di una psicofarmacoterapia maggiormente incisiva. Inoltre, l’affermazione del SMR circa il carattere “reattivo” e quindi, per stessa ammissione del dr. __________, di durata limitata (cfr. doc. AI 43, “ per definizione una sindrome depressiva reattiva è di durata limitata e non rappresenta un nuovo fattore invalidante ”) del peggioramento dello stato di salute psichica dell’interessato, conseguente alla decisione ricevuta, non trova riscontro nei fatti. Il dr. __________ ha infatti diagnosticato la presenza di una chiara sindrome depressiva fin dall’ottobre 2004; nel suo scritto 28 aprile 2006 (e quindi a distanza di molti mesi dalla ricezione della decisione di rifiuto della rendita AI) ha rilevato che rispetto al periodo precedente, si è dovuto procedere sia ad un’intensificazione delle sedute psicoterapeutiche, che ad un incremento della psicofarmacoterapia, a causa della persistenza dei disturbi algici, depressivi e del sonno (doc. AI 40-3, sottolineature della redattrice). Tutti questi indizi, lasciano intendere che nel caso dell’assicurato non si è in presenza di una sindrome depressiva reattiva, che per definizione è di durata limitata. Tale aspetto deve in ogni caso fare l’oggetto di una nuova approfondita valutazione. Visto quanto precede, questo Tribunale ritiene la fattispecie non sufficientemente chiarita dal profilo medico, con riferimento all’affezione psichiatrica. Difatti, a fronte dei numerosi certificati medici del dr. __________ che attestano un’inabilità lavorativa del 50%, con una prognosi sfavorevole e con la necessità di un’intensificazione sia delle sedute di psicoterapia e di una maggiore e più incisiva psicofarmacoterapia, l’Ufficio AI ha omesso di compiere qualsivoglia accertamento volto a chiarire le ragioni di tali affermazioni. L’amministrazione ha infatti ribadito, sulla base delle valutazioni del SMR, che lo stato di salute dell’assicurato non ha subito nessun peggioramento, nonostante le certificazioni di senso contrario e del curante. In conclusione, richiamato quanto sopra, gli atti sono da rinviare all’amministrazione, affinché esamini in modo approfondito le conseguenze sulla residua capacità lavorativa in relazione alle affezioni psichiatriche. In esito a tale accertamento, l’Ufficio AI procederà ad una valutazione globale dell’inca-pacità lavorativa, tenendo conto delle valutazioni peritali pneumologica-neurologica-reumatologica effettuate nell’ambi-to della perizia SAM del 2 agosto 2005. Occorre qui rilevare che, secondo la giurisprudenza del TFA, per determinare il grado di inabilità lavorativa di un assicurato che soffre di diverse patologie non si devono semplicemente sommare le singole valutazioni, bensì si deve far capo ad un giudizio globale che scaturisce dopo ponderata discussione plenaria fra tutti gli esperti interessati; l'Alta Corte ha inoltre osservato che la questione a sapere se i singoli gradi di inabilità si possano sommare e se del caso in quale misura è una problematica squisitamente medica, che di principio il giudice non rimette in discussione (cfr. STFA del 4 settembre 2001 nella causa D, I 338/01 pubblicata in RDAT 2002 I no. 72 pag. 485). In una sentenza inedita del 19 agosto 2005 nella causa D. (I 606/03) lo stesso TFA ha inoltre precisato che il giudizio sul grado complessivo dell’incapacità lavorativa va di regola eseguito nell’ambito di una perizia. In simili circostanze la decisione impugnata va annullata e gli atti rinviati all’Ufficio AI perché, effettuati gli accertamenti medici sopra indicati, si pronunci nuovamente sul diritto a prestazioni dell’assicurato.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 L’amministrazione dovrà inoltre versare all’assicurato la somma di fr. 1’000.--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