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32.2005.98 vom 27. Januar 2006</w:t>
      </w:r>
    </w:p>
    <w:p>
      <w:r>
        <w:t>TI Tribunale d'appello, 2006-01-27, IT</w:t>
      </w:r>
    </w:p>
    <w:p>
      <w:r>
        <w:rPr>
          <w:b/>
        </w:rPr>
        <w:t xml:space="preserve">Quelle: </w:t>
      </w:r>
      <w:r>
        <w:t>https://mcp.opencaselaw.ch/entscheid/ti_gerichte_32.2005.98</w:t>
      </w:r>
    </w:p>
    <w:p>
      <w:r>
        <w:t>FR: TI_GERICHTE 32.2005.98 du 27 janvier 2006</w:t>
      </w:r>
    </w:p>
    <w:p>
      <w:r>
        <w:t>IT: TI_GERICHTE 32.2005.98 del 27 gennaio 2006</w:t>
      </w:r>
    </w:p>
    <w:p>
      <w:pPr>
        <w:pStyle w:val="Heading2"/>
      </w:pPr>
      <w:r>
        <w:t>Regeste</w:t>
      </w:r>
    </w:p>
    <w:p>
      <w:r>
        <w:t>richiesta di rendita negata sulla base di una perizia SAM il valore porbatorio é stato confermato dal TCA</w:t>
      </w:r>
    </w:p>
    <w:p>
      <w:pPr>
        <w:pStyle w:val="Heading2"/>
      </w:pPr>
      <w:r>
        <w:t>Volltext</w:t>
      </w:r>
    </w:p>
    <w:p>
      <w:r>
        <w:t>Tessin Tribunale cantonale delle assicurazioni 27.01.2006 32.2005.98 Tessin Tribunale cantonale delle assicurazioni 27.01.2006 32.2005.98 Ticino Tribunale cantonale delle assicurazioni 27.01.2006 32.2005.98</w:t>
      </w:r>
    </w:p>
    <w:p>
      <w:r>
        <w:t>richiesta di rendita negata sulla base di una perizia SAM il valore porbatorio é stato confermato dal TCA</w:t>
      </w:r>
    </w:p>
    <w:p>
      <w:r>
        <w:t>Raccomandata Incarto n. 32.2005.98 rg Lugano 27 gennaio 2006 In nome della Repubblica e Cantone Ticino Il vicepresidente del Tribunale cantonale delle assicurazioni Giudice Raffaele Guffi statuendo sul ricorso del 18 giugno 2005 di RI 1 contro la decisione su opposizione del 7 giugno 2005 emanata da Ufficio assicurazione invalidità, 6501 Bellinzona 1 Caselle in materia di assicurazione federale per l'invalidità considerato in fatto e in diritto che                              -   con domanda 17 settembre 2002 RI 1, classe 1962, ausiliario di manutenzione, ha chiesto di poter beneficiare di prestazioni AI, segnatamente di una rendita d’invalidità; -   esperita l’istruttoria, nel cui ambito è stato ordinato al SAM l’allestimento una perizia pluridisciplinare, per decisione 13 settembre 2004, confermata con decisione su opposizione 7 giugno 2005, l’Ufficio AI ha riconosciuto all’assicurato il diritto ad una rendita intera (per un grado d’invalidità del 100%) dal 1. ottobre 2002 e a tre quarti di rendita (per un grado d’invalidità del 63%) a far tempo dal 1. aprile 2004; - con il ricorso in oggetto l’assicurato chiede, previo annullamento della decisione 7 giugno 2005, che l’Ufficio AI abbia a procedere ad una rivalutazione della sua situazione medica. Egli rimprovera in sostanza all’amministrazione di non aver approfonditamente valutato la fattispecie dal profilo medico, in particolare di non aver dato seguito ad ulteriori accertamenti che, a mente sua, si sarebbero resi necessari sulla scorta della valutazioni espresse dal Servizio cantonale di neurologia; - con la risposta di causa l’Ufficio AI chiede la reiezione dell’impugnativa e la conferma del querelato provvedimento; -   la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Secondo l'art. 28 cpv. 1 LAI, in vigore sino al 31 dicembre 2002,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che egli avrebbe potuto conseguire se non fosse diventato invalido ( DTF 128 V 30, 104 V 136; Pratique VSI 2000 p. 84; RCC 1992 p. 182, 1990 p. 543); -   perché un rapporto medico abbia valore probatorio ai fini del giudizio sull’invalidità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in merito all’incapacità lavorativa devono inoltre essere motivate ( Meyer‑Blaser , Die Rechtspflege in der Sozialversicherung, in BJM 1989 p. 31; DTF 125 V 352 e riferimenti;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14 aprile 1998 nella causa O.B.; STFA 28 novembre 1996 nella causa G.F.; STFA 24 dicembre 1993 nella causa S.H.; SVR 1998 IV Nr. 1 p. 2; SZS 1988 p. 329 e 332; ZAK 1986 p. 189). N ella sentenza del 5 ottobre 2001 pubblicata in DTF 127 V 294ss, il TFA ha fatto proprie le considerazioni esposte da Mosimann (Somatoforme Störungen: Gerichte und [psychiatrische] Gutachten, in: SZS 1999 pp.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 STCA 27 settembre 2001 nella causa A., inc. 32.1999.124); - in concreto, lo stato di salute e le sue conseguenze invalidanti risultano essere state esaminate e valutate, conformemente alla succitata giurisprudenza, in maniera completa ed approfondita da parte dei periti del SAM, i quali - sulla scorta anche di due consulti esterni specialistici (psichiatrico e reumatologico) - tenuto conto dei disturbi aventi incidenza invalidante, hanno concluso per una incapacità lavorativa residua del 50% in attività adeguate, dovuta soprattutto agli aspetti psicopatologici; - la tesi ricorsuale - secondo cui, alla luce delle valutazioni a suo tempo rese dai responsabili del Servizio Cantonale di Neurologia, l’amministrazione avrebbe dovuto procedere a più approfondite indagine di natura neurologica, in particolare in relazione alla sindrome delle gambe irrequiete - non merita tutela. Relativamente agli accertamenti effettuati nel corso del 2002, va anzitutto osservato che i medici del citato servizio hanno evidenziato in un primo momento una “ diagnosi di possibile polineuropatia periferica ”, rilevando che “ anamnesticamente rimane la possibilità di una sindrome delle gambe irrequiete ” e che “ nell’ottica di una sindrome delle gambe impazienti abbiamo prescritto al paziente del Sifrol, ritenuto dal paziente inefficace e rapidamente arrestato” (rapporto medico 19 novembre 2002, sub doc. AI 19); in un successivo rapporto gli specialisti hanno dichiarato che “ interpretando i disturbi nell’ambito di una sindrome di restless-legs sono state escluse le cause di una forma secondaria con distireosi, deficit delle vitamine, carenza di ferro o polineuropatia ”, che “ dopo…approfondimento anamnestico dei disturbi a carico degli arti inferiori, confermiamo la nostra prima impressione di sindrome di restless-legs probabilmente accentuata nell’ambito dello stato depressivo attuale ” e di aver quindi “ effettuato una registrazione dell’attività motoria nel sonno a domicilio mediante Actigrafo alla ricerca dei movimenti periodici degli arti che sono presenti in ¾ di pazienti affetti da questa patologia ” e che “ la registrazione non ha evidenziato attività motoria abnorme nel sonno ”, indicando inoltre, dal profilo terapeutico, la necessità di continuare con la terapia farmacologia (rapporto medico 2 aprile 2003, sub. doc. AI 19); nell’ultimo rapporto all’Ufficio AI datato 7 aprile 2003, il responsabile del servizio ha comunque osservato come la valutazione dell’incapacità lavorativa concerna in sostanza la problematica reumatologico-ortopedica e quella psichiatrica e interessi solo marginalmente gli aspetti neurologici (doc. AI 19). Sulla base di quest’ultimo rilievo, rettamente l’amministrazione ha quindi proceduto ad un esame peritale pluridisciplinare, nel quale sono state approfonditamente e compiutamente indagate nel loro insieme la componente reumatologica e quella psichiatrica e quindi valutata l’incidenza delle stesse sulla capacità al lavoro dell’assicurato; - alla luce delle considerazioni che precedono, all’operato dell’Ufficio AI, che, per quanto riguarda la valutazione medica della capacità al lavoro, ha fondato il proprio giudizio sulle valutazioni peritali SAM, non può che essere prestata adesione; -   ne consegue la reiezione del gravame e la conferma del querelato provvedimento.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