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32.2005.53 vom 25. Oktober 2005</w:t>
      </w:r>
    </w:p>
    <w:p>
      <w:r>
        <w:t>TI Tribunale d'appello, 2005-10-25, IT</w:t>
      </w:r>
    </w:p>
    <w:p>
      <w:r>
        <w:rPr>
          <w:b/>
        </w:rPr>
        <w:t xml:space="preserve">Quelle: </w:t>
      </w:r>
      <w:r>
        <w:t>https://mcp.opencaselaw.ch/entscheid/ti_gerichte_32.2005.53</w:t>
      </w:r>
    </w:p>
    <w:p>
      <w:r>
        <w:t>FR: TI_GERICHTE 32.2005.53 du 25 octobre 2005</w:t>
      </w:r>
    </w:p>
    <w:p>
      <w:r>
        <w:t>IT: TI_GERICHTE 32.2005.53 del 25 ottobre 2005</w:t>
      </w:r>
    </w:p>
    <w:p>
      <w:pPr>
        <w:pStyle w:val="Heading2"/>
      </w:pPr>
      <w:r>
        <w:t>Regeste</w:t>
      </w:r>
    </w:p>
    <w:p>
      <w:r>
        <w:t>determinazione dell'invalidità di un'assicurata esercitante un'attività lucrativa a titolo parziale (metodo misto</w:t>
      </w:r>
    </w:p>
    <w:p>
      <w:pPr>
        <w:pStyle w:val="Heading2"/>
      </w:pPr>
      <w:r>
        <w:t>Erwägungen</w:t>
      </w:r>
    </w:p>
    <w:p>
      <w:r>
        <w:rPr>
          <w:b/>
        </w:rPr>
        <w:t>E. 1</w:t>
      </w:r>
    </w:p>
    <w:p>
      <w:r>
        <w:t>derzeit- und dies seit einiger Zeit- in ihrer Belastbarkeit zumindest 60% eingeschränkt ist “), diversamente dal preciso e dettagliato accertamento reumatologico eseguito dal dr. med. __________ , il quale ha concluso per un’abilità lavorativa dell’80% nell’attività di impiegata d’ufficio ed in altre attività leggere rispettose delle limitazioni riportate nella perizia. Nondimeno occorre ricordare come nella perizia multidisciplinare i periti del SAM abbiano dettagliatamente ed esaurientemente valutato (globalmente) la residua capacità lavorativa dell’assicurata prendendo in considerazioni sia le patologie reumatologiche che psichiatriche (cfr. punto no. 8 “ conseguenze sulla capacità lavorativa”). Essi hanno inoltre valutato le risultanze mediche in vista di un’eventuale reintegrazione (cfr. punto no. 9 “conseguenze sulla capacità d’integrazione”). In sostanza, quella del prof. dr. med. __________ è una diversa valutazione della situazione medica già conosciuta e vagliata dai periti del SAM, al cui referto 17 marzo 2003 va conferito valore probatorio pieno (cfr. consid. 2.9). Ora, non si vuole sminuire le difficoltà che l’assicurata attualmente incontra, sia per i dolori principalmente legati alla fibromialgia che per la situazione finanziaria e familiare in cui si trova, avendo in particolare da accudire, comunque insieme al marito, ad una figlia di 8 anni con problemi cardiaci (stenosi aortica congenita). Fatto sta che i susseguenti atti medici prodotti in corso di causa non permettono di rilevare elementi idonei a modificare la valutazione del SAM, tenendo conto dell’evoluzione dello stato di salute della ricorrente almeno fino all’emanazione della decisione contestata (22 marzo 2005), momento determinante per il presente giudizio (cfr. consid. 2.1). Con rapporto 1° giugno 2005 l’ortopedico curante, dr. med. __________, ha attestato l’esistenza di patologie già conosciute, senza parlare del grado d’incapacità lavorativa, certificando un quadro clinico stazionario “scarsamente dominabile con terapia medicamentosa e fisioterapia ”, quest’ultima circostanza purtroppo già presente al momento della perizia SAM. In data 1° giugno 2005 il dr. med. __________, specialista in medicina generale, ha certificato il suo intervento dell’8 marzo 2005 presso l’assicurata per sindrome lombovertebrale acuta (VII/B). Egli non ha tuttavia indicato né il decorso, né il grado d’inabilità, motivo per cui nella nota 27 giugno 2005 il dr. med. __________ ha plausibilmente affermato che episodi acuti di tale genere possono sempre intervenire, senza tuttavia influire durevolmente sulla capacità lavorativa (IX bis). Va da ultimo menzionato il rapporto 24 maggio 2005 del dr. med. __________ del Centro per la terapia del dolore presso l’Ospedale __________. In quell’atto il sanitario, riportando l’autovalutazione dell’assicurata riguardo alla scala del dolore, nonché i diversi disturbi soggettivi, ha evidenziato come la paziente sia fortemente turbata dal fatto di non percepire più l’indennità di disoccupazione, individuando anche “ una forte componente depressiva che aggrava il suo stato d’incapacità nel poter affrontare in modo attivo la sua malattia di base” (doc. VII/C). Se da un lato dal succitato rapporto traspare una problematica psichiatrica (depressione) di diversa natura da quella evidenziata in sede di perizia SAM (distimia endoreattiva diagnosticata dallo psichiatra dr. med. __________ con rapporto 3 febbraio 2004, sub doc. AI 34), dall’altra tale atto medico non è tuttavia sufficiente per poter ammettere un peggioramento rilevante della componente extra somatica, non fosse altro che per il fatto che si riferisce ad una situazione venutasi a creare successivamente all’emanazione della decisione contestata, motivo per cui non può essere preso in considerazione. Ciononostante, l’assicurata potrà introdurre una nuova domanda di rendita per motivi psichici, a cui dovrà essere allegata la pertinente documentazione specialistica. In conclusione, questo Tribunale ritiene che la refertazione medica agli atti contiene elementi chiari e sufficienti per valutare l'incapacità al guadagno dell'assicurata sino all'emanazione del querelato provvedimento, senza che si renda quindi necessario l'esperimento di ulteriori accertamenti. Stante quanto precede, sulla base delle affidabili e concludenti risultanze della perizia SAM,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 è da ritenere dimostrato, con il grado della verosimiglianza preponderante, valido nell'ambito delle assicurazioni sociali (DTF 125 V 195 consid. 2 e i riferimenti ivi citati, 115 V 142 consid. 8b, 113 V 323 consid. 2a, 112 V 32 consid. 1c, 111 V 188 consid. 2b), che l'assicurata è abile al lavoro, rispettivamente al guadagno, in misura del 80% nella sua precedente attività di impiegata d’ufficio. Al riguardo si rileva che la giurisprudenza federale ha sì più volte confermato il principio che, nella determinazione dell'invalidità, non c'è la possibilità di fondarsi su una valutazione medico-teorica del danno alla salute e che occorre, sempre, basarsi sulle conseguenze economiche di tale danno. Ciò nondimeno, se il danno alla salute non é tale - come in casu -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STCA del 21 marzo 1995 nella causa S. F., del 31 maggio 1995 nella causa E. D., del 7 giugno 1995 nella causa M. Z. e del 26 febbraio 1996 nella causa G). 2.11.   Per quel che concerne l'attività di casalinga, va ricordato che l'invalidità delle persone che si occupano (esclusivamente o parzialmente dell'economia domestica), come si é visto (cfr. consid. 2.5), è stabilita confrontando le singole attività nell'economia domestica ancora accessibili alla richiedente la rendita AI, con i lavori che può eseguire una persona sana.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w:t>
      </w:r>
    </w:p>
    <w:p>
      <w:r>
        <w:rPr>
          <w:b/>
        </w:rPr>
        <w:t>E. 5</w:t>
      </w:r>
    </w:p>
    <w:p>
      <w:r>
        <w:t>2.     Alimentazione (preparare i pasti, cucinare, apparecchiare, pulire la cucina, approvvigionamento)</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 Con sentenza non pubblicata 22 agosto 2001 nella causa G.C., il TFA (I 102/00) ha avuto modo di nuovamente confermare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(Valterio, op. cit., p. 211; RCC 1989 p. 131 consid. 5b, 1984 p. 144 consid. 5). 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2.12.   Come detto, l'UAI ha incaricato l'assistente sociale di esperire un'inchiesta economica per le persone che si occupano dell'economia domestica. Il relativo rapporto è stato allestito il 23 giugno 2004 (doc. AI 41). Sulla base degli accertamenti fatti presso il domicilio dell’assicurata, dopo aver fissato gli impedimenti di ogni singola mansione casalinga, l'assistente sociale ha quindi stabilito una limitazione complessiva del 24 %. Alla valutazione dell’assistente sociale va prestata piena adesione, ritenuto in particolare come essa abbia compiutamente valutato le difficoltà e l’esigibilità di ogni singola mansione casalinga. Va inoltre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Il grado globale d’impedimento del 24% accertato nell’inchiesta domiciliare va pertanto confermato, essendo per altro in linea con il grado d’incapacità lavorativa (30%) quale casalinga accertato dal dr. med. __________. Vista la ripartizione del tempo lavorativo tra attività salariata e mansioni casalinghe stabilita dall’amministrazione nella querelata decisione, il grado d’invalidità globale del 22% (20 x 50% + 24 x 50%) non è sufficiente per riconoscere all’assicurata il diritto ad una rendita d’invalidità. Allo stesso risultato si giungerebbe volendo fissare, per ipotesi di lavoro, al 70% la quota parte riservata alle mansioni professionali, così come postulato con l’opposizione, tenendo conto di un grado d’inabilità del 30% in attività casalinghe; in tale evenienza il grado d’invalidità risulterebbe essere del 23% (20 x 70% + 30 x 30%). Sulla scorta dei considerandi che precedono, la decisione su opposizione merita conferma, mentre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