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32.2005.190 vom 13. März 2006</w:t>
      </w:r>
    </w:p>
    <w:p>
      <w:r>
        <w:t>TI Tribunale d'appello, 2006-03-13, IT</w:t>
      </w:r>
    </w:p>
    <w:p>
      <w:r>
        <w:rPr>
          <w:b/>
        </w:rPr>
        <w:t xml:space="preserve">Quelle: </w:t>
      </w:r>
      <w:r>
        <w:t>https://mcp.opencaselaw.ch/entscheid/ti_gerichte_32.2005.190</w:t>
      </w:r>
    </w:p>
    <w:p>
      <w:r>
        <w:t>FR: TI_GERICHTE 32.2005.190 du 13 mars 2006</w:t>
      </w:r>
    </w:p>
    <w:p>
      <w:r>
        <w:t>IT: TI_GERICHTE 32.2005.190 del 13 marzo 2006</w:t>
      </w:r>
    </w:p>
    <w:p>
      <w:pPr>
        <w:pStyle w:val="Heading2"/>
      </w:pPr>
      <w:r>
        <w:t>Regeste</w:t>
      </w:r>
    </w:p>
    <w:p>
      <w:r>
        <w:t>Ritardata giustizia. A ragione, visto che la SUVA era già avanzata nella trattazione del caso concernente l'assicurato, l'UAI ha sospeso la pratica in attesa della decisione da parte della SUVA che deve, comunque, essere ancora sollecitata dopodiché l'UAI dovrà pronunciarsi senza indugio.</w:t>
      </w:r>
    </w:p>
    <w:p>
      <w:pPr>
        <w:pStyle w:val="Heading2"/>
      </w:pPr>
      <w:r>
        <w:t>Erwägungen</w:t>
      </w:r>
    </w:p>
    <w:p>
      <w:r>
        <w:rPr>
          <w:b/>
        </w:rPr>
        <w:t>E. 4</w:t>
      </w:r>
    </w:p>
    <w:p>
      <w:r>
        <w:t>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(Plädoyer 6/1998, p. 67). 2.5.   Il TFA ha stabilito, i 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Da ultimo va rilevato che,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2.6.   Oggetto del contendere è sapere se all’Ufficio AI può essere imputato un ingiustificato ritardo nell’evasione della domanda di prestazioni presentata da RI 1. La domanda di prestazioni AI è stata inoltrata dall’assicurato il 1° luglio 2003 (doc. AI 2), per cui effettivamente sino al momento dell’inoltro del ricorso per denegata giustizia sono passati quasi 28 mesi. Come riportato al consid. 1.2, l’Ufficio AI ha tuttavia dato seguito con sollecitudine agli accertamenti che s'imponevano per appurare l'attuale stato di salute dell'interessato. In particolare, dopo aver ricevuto dalla SUVA, il 31 gennaio 2005, i loro atti concernenti l’assicurato e posteriori al 17 maggio 2004, l’Ufficio AI, il 15 febbraio 2005, ha sottoposto il caso al SMR, chiedendo un parere circa la questione a sapere se l’incapacità lavorativa è solo infortunistica (doc. AI 28). Con note mediche 7 giugno e 5 luglio 2005 il medico del SMR, Dr. __________, ha indicato che non vi erano elementi extra infortunistici invalidanti e che, ritenuta la natura delle affezioni (prettamente infortunistiche), la valutazione con la quale la SUVA ha ritenuto l’assicurato totalmente abile al lavoro dal 1° gennaio 2005 prevale (doc. AI 40 e 35). Il 15 settembre 2005 l’Ufficio AI ha quindi comunicato alla SUVA che, vista la prevista chiusura del caso da parte loro, manteneva sospesa la pratica fino ad una loro decisione concernente l’assicurato (doc. AI 41). In simili circostanze, sulla scorta dei dettami giurisprudenziali e dottrinali suevocati, questo Tribunale ritiene che l'autorità amministrativa convenuta non si è resa colpevole di un ingiustificato ritardo nei confronti di RI 1. Questo vale a maggiore ragione se si considera che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Ora, ritenuto che la SUVA era già avanzata nella trattazione del caso concernente l’assicurato (confronta al riguardo il rapporto della visita medica di chiusura del 3 giugno 2004 e lo scritto del 9 dicembre 2004 con il quale la SUVA ha comunicato all’assicurato che a partire dal 1° gennaio 2005 lo considera abile al lavoro nella misura massima possibile; doc. AI 5-2 e 5-11/13), a mente del TCA, è a ragione che l’Ufficio AI ha deciso di sospendere la pratica in attesa di una decisione da parte della SUVA. In ogni caso, pur comprendendo l’ingente (nota) mole di lavoro cui è confrontato, considerato anche il tempo trascoro dalla visita medica di chiusura del 3 giugno 2004, l’Ufficio AI dovrà sollecitare ulteriormente una decisione (che si auspica venga presa al più presto) da parte della SUVA e in seguito senza indugio procedere a statuire sulla richiesta di prestazioni AI inoltrata dall’assicurato il 1° luglio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