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32.2005.178 vom 21. September 2006</w:t>
      </w:r>
    </w:p>
    <w:p>
      <w:r>
        <w:t>TI Tribunale d'appello, 2006-09-21, IT</w:t>
      </w:r>
    </w:p>
    <w:p>
      <w:r>
        <w:rPr>
          <w:b/>
        </w:rPr>
        <w:t xml:space="preserve">Quelle: </w:t>
      </w:r>
      <w:r>
        <w:t>https://mcp.opencaselaw.ch/entscheid/ti_gerichte_32.2005.178</w:t>
      </w:r>
    </w:p>
    <w:p>
      <w:r>
        <w:t>FR: TI_GERICHTE 32.2005.178 du 21 septembre 2006</w:t>
      </w:r>
    </w:p>
    <w:p>
      <w:r>
        <w:t>IT: TI_GERICHTE 32.2005.178 del 21 settembre 2006</w:t>
      </w:r>
    </w:p>
    <w:p>
      <w:pPr>
        <w:pStyle w:val="Heading2"/>
      </w:pPr>
      <w:r>
        <w:t>Regeste</w:t>
      </w:r>
    </w:p>
    <w:p>
      <w:r>
        <w:t>Assicurato, già al beneficio di una rendita d'invalidità da parte dell'assicuratore infortuni, non ha diritto ad una rendita AI essendo pienamente abile in attività leggere adeguate e non subendo, dal raffronto dei redditi, una perdita di guadagno pensionabile.</w:t>
      </w:r>
    </w:p>
    <w:p>
      <w:pPr>
        <w:pStyle w:val="Heading2"/>
      </w:pPr>
      <w:r>
        <w:t>Erwägungen</w:t>
      </w:r>
    </w:p>
    <w:p>
      <w:r>
        <w:rPr>
          <w:b/>
        </w:rPr>
        <w:t>E. 22</w:t>
      </w:r>
    </w:p>
    <w:p>
      <w:r>
        <w:t>dicembre 2000 nella causa H., H 304/99; STFA del 26 ottobre 1999 nella causa C., I 623/98). Nel merito 2.2.   Il 1° gennaio 2003 è entrata in vigore la Legge federale sulla parte generale del diritto delle assicurazioni sociali (LPGA; RS 830.1), la quale ha portato alcune modifiche legislative anche in ambito AI. Al riguardo occorre rilevare che unicamente le norme di procedura, in via di principio, entrano immediatamente in vigore (DTF 130 V 4 consid. 2.4; SVR 2003 IV Nr. 25, consid. 1.2., pag. 76; DTF 117 V 93 consid. 6b, 112 V 360 consid. 4°). Per quanto concerne invece le norme di diritto materiale, in assenza di disposizioni transitorie, nel diritto delle assicurazioni sociali sono determinanti quei disposti in vigore al momento in cui si è realizzata la fattispecie che esplica degli effetti (DTF 129 V 4 consid. 1.2.; 127 V 466 consid. 1). Nella DTF 130 V 445ss., il TFA ha precisato che per l'esame relativo all'eventuale insorgenza di un diritto a una rendita dell'assicurazione per l'invalidità già prima dell'entrata in vigore della LPGA, occorre rifarsi ai principi generali sviluppati in materia di diritto intertemporale che dichiarano applicabile l'ordinamento in vigore al momento della realizzazione dello stato di fatto giuridicamente determinante. Di conseguenza, per il periodo fino al 31 dicembre 2002, l 'esame del diritto alla rendita avviene sulla base del precedente ordinamento, mentre a partire da questa data esso avviene secondo le nuove norme (DTF 130 V 446 consid. 1.2.2.). Tale questione riveste una scarsa importanza visto che, come evidenziato dallo stesso TFA, l’introduzione della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e che per tale motivo le succitate nozioni precedentemente sviluppate dalla giurisprudenza rimangono tuttora valide (DTF 130 V 343). Trattandosi nel caso in esame di eventuali prestazioni durevoli riferite sia ad un periodo antecedente che posteriore al 1° gennaio 2003, le disposizioni di legge applicabili al caso di specie verranno riferite ad entrambi gli ordinamenti in vigore prima e dopo il 1° gennaio 2003, ritenuto comunque che - come detto - la nuova normativa non ha apportato dal punto di vista materiale alcuna sostanziale modifica riguardo ai succitati concetti dell’AI. Dal 1° gennaio 2004 sono inoltre in vigore le norme introdotte dalla 4a revisione della LAI. 2.3.   Oggetto del contendere è sapere se l’insorgente ha diritto ad una riformazione professionale o ad una rendita. 2.4.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2.5.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Secondo l'art. 28 cpv. 1 LAI, in vigore sino al 31 dicembre 2002, gli assicurati hanno diritto a una rendita intera se sono invalidi almeno al 66 2/3%,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che egli avrebbe potuto conseguire se non fosse diventato invalido (DTF 128 V 30, 104 V 136; Pratique VSI 2000 p. 84; RCC 1992 p. 182, 1990 p. 543). Secondo il TFA i due redditi, dalla cui differenza emerge il grado dell'incapacità di guadagno, vanno stabiliti in maniera precisa. Se ciò non è possibile, devono essere calcolati sulla base di una valutazione fondata sulle circostanze concrete (DTF 114 V 313; SVR 1996 IV Nr. 74). Per il raffronto dei redditi sono determinanti le circostanze esistenti al momento dell'(eventuale) inizio del diritto alla rendita; i redditi da valido e da invalido devono però essere rilevati sulla medesima base temporale e la valutazione deve tenere conto di eventuali modifiche intervenute fino alla resa della decisione (rispettivamente, in regime di LPGA, decisione su opposizione) e suscettibili di incidere sul diritto alla rendita (DTF 129 V 222; SVR 2003 IV Nr. 11, 2002 IV Nr. 24). 2.6.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la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non pubblicata dell'8 luglio 1999 nella causa A.F. (U183/98),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dall’assicuratore infortuni, allorquando, ad esempio, quest'ultimo abbia tralasciato di operare un raffronto dei redditi (AHI-Praxis 1998 p. 170). 2.7.   Nel caso di specie con decisione 16 ottobre 2002 l’assicuratore LAINF ha riconosciuto all’assicurato il diritto ad una rendita per un grado d’invalidità del 27% a decorrere dal 1° agosto 2001 (doc. 3-2 incarto LAINF). Come visto, tale decisione, cresciuta in giudicato, è poi stata nuovamente confermata dall’assicuratore infortuni al termine della procedura di revisione, con decisione 31 marzo 2005 (doc. 9-3 incarto LAINF). Lo scrivente Tribunale, dopo attenta ed approfondita disamina del materiale probatorio, non può che pienamente confermare la valutazione medica dell’assicuratore infortuni. Nel rapporto intermedio __________ 22 gennaio 2002 il dr. __________, Capoclinica di chirurgia ortopedica dell’Ospedale regionale di __________, ha posto la diagnosi di “ stato dopo asportazione d’ossificazioni il 29 marzo 2001 su stato dopo protesi bipolare anca sinistra 26 luglio 2000 su stato dopo OS femore prossimale sinistro il 26 gennaio 2000 ” , osservando che la situazione è soddisfacente, tranne che per alcuni dolori sotto sforzo e indicando la ripresa del lavoro al 100% dal 20 luglio 2001 per lavori non pesanti (doc. 2-10 inc. LAINF). Nel rapporto redatto in occasione della visita medica di chiusura 17 aprile 2002 il dr. __________, medico __________ __________, posta la diagnosi di “ sindrome algica sotto carico residuale anca sinistra, con segni radiologici e scintigrafici di rimaneggiamento osseo tuttora in atto, in presenza di uno stato dopo frattura del collo femorale il 26 gennaio 2000, reposizione chiusa e osteosintesi tramite DHS il 26 gennaio 2000, rimozione del materiale d’osteosintesi e protesi cefalica bipolare non cementata su necrosi asettica il</w:t>
      </w:r>
    </w:p>
    <w:p>
      <w:r>
        <w:rPr>
          <w:b/>
        </w:rPr>
        <w:t>E. 26</w:t>
      </w:r>
    </w:p>
    <w:p>
      <w:r>
        <w:t>novembre 2003 il dr. __________ ha rilevato che: " VALUTAZIONE Radiologicamente e clinicamente buon risultato con l'attuale protesi in situ. Malgrado l'intensità e l'importanza data dal signor RI 1 ai disturbi residuali, esso non fa ricorso, rispettivamente non necessita dell'ausilio di un trattamento antiflogistico, rispettivamente antalgico. Tenuto conto dei reperti clinicamente e radiologicamente oggettivabili, ritengo personalmente che il nocciolo della problematica accusata dal signor RI 1 risieda nella non avvenuta elaborazione del divario venutosi a creare tra le sue aspettative (con riferimento a un'anca normale) e le limitazioni connesse con i postumi infortunistici presenti. Sul piano terapeutico non ritengo esservi misure particolari, più specificatamente cruente, suscettibili di condurre a un cambiamento significativo della sintomatologia residuale. Ciò non di meno, come proposto dal dr. __________, accordo il benestare da parte della __________ per un'ulteriore valutazione presso il dr. __________ della Clinica __________ di __________. Con riferimento al quadro clinico e radiologico odierno, il signor RI 1 viene ritenuto nuovamente abile al lavoro nei limiti dell'esigibilità espressa in occasione dell'esame medico-__________ del 17.4.2002." (Doc. 6-4+5 inc. LAINF) Infine, in occasione dell’esame medico 1° marzo 2005 in relazione alla revisione della rendita, il dr. __________, medico __________ __________, posta la diagnosi di “ sindrome algica sul lato laterale dell’anca sinistra in stato da protesi totale all’anca sinistra il 15 maggio 2003; stato da protesi cefalica bipolare il 26 luglio 2000; stato da osteosintesi con DHS il 26 gennaio 2000 su frattura del collo femorale sinistro tipo Garden IV ”, ha  concluso: " (...) VALUTAZIONE Sia soggettivamente che oggettivamente persistono gli stessi sintomi sin da quando è stata innestata la protesi cefalica bipolare il 26.7.2000. Non vi è peggioramento della situazione nè dal punto di vista soggettivo nè tanto meno dal punto di vista oggettivo. Guardando i reperti anamnestici rilevati sia alla visita medica di chiusura del 17.4.2002 come pure alla visita medico-circondariale di controllo effettuata il 25.11.2003 si nota che non vi è un peggioramento soggettivo della situazione. Lo stesso si può dire per i reperti oggettivabili e lo stato locale. In conclusione non vi è un notevole peggioramento della situazione che giustifichi una nuova definizione dell'esigibilità del lavoro pertanto l'esigibilità espressa alla visita medica di chiusura del 17.4.2002 mantiene tutta la sua validità." (Doc. 9-8 inc. LAINF) Non può modificare la valutazione di una piena capacità lavorativa dell’assicurato in attività leggere adeguate, così come stabilito dall’assicuratore LAINF, quanto certificato dal dr. __________, specialista in chirurgia ortopedica e ortopedia dell’__________, che ha avuto modo di visitare l’assicurato a più riprese nel corso del 2005. Lo specialista, infatti, nel suo rapporto 10 gennaio 2005 ha rilevato: " (...) Valutazione &amp; procedere: Penso che i disturbi all'anca sinistra lamentati dal paziente siano da mettere in relazione ad una borsite del grande trocantere. Durante la visita odierna viene eseguita un'infiltrazione locale sul grande trocantere sinistro con 3 ml di Carbostesina ed una fiala di Diprophos. Rispetto ad un anno fa i disturbi sono molto peggiorati. In futuro bisognerà prevedere un aumento dell'inabilità lavorativa. Come elettricista penso che un'inabilità lavorativa del 50% sia giustificata. Prossimo controllo nel mio studio tra 6 settimane." (Doc. 9-17 inc. LAINF) In seguito, con rapporto medico 21 febbraio 2005, il dr. __________ ha aggiunto: " (...) Procedere: L'esito positivo, anche se limitato a 10 giorni dopo l'infiltrazione locale eseguita a livello del grande trocantere sinistro, conferma che almeno in parte la sintomatologia è dovuta ad una problematica del tratto ileo-tibiale. Se la sintomatologia, comunque, non peggiora, eviterei di eseguire una revisione chirurgica. Il mio consiglio è quello di portare un plantare di rialzo a sinistra di almeno 8 mm per compensare il raccorciamento della gamba sinistra. Se in futuro la sintomatologia al ginocchio sinistro dovesse peggiorare, bisognerà, come primo passo, eseguire una RM. Come già detto durante l'ultima visita in futuro, probabilmente, bisognerà prevedere un aumento dell'inabilità lavorativa a ca. il 50%. Ulteriori controlli nel mio studio al bisogno." (Doc. 9-9+10 inc. LAINF) In data 15 aprile 2005 il dr. __________ ha ancora osservato: " Decorso Situazione più o meno invariata per quanto concerne l'anca sn.. Circa un mese fa il paziente è stato visto dai colleghi della __________. Nelle ultime settimane peggioramento dei dolori al ginocchio sinistro. Come già riferito durante l'ultima visita nel mio studio consiglio una valutazione tramite RM. Inoltre ho prescritto un plantare con rialzo di circa 8 mm per il piede sn.. Dopo la RM rivedrò il paziente nel mio studio." (Doc. 10-9 inc. LAINF) Una volta eseguito l’accertamento citato, con scritto 2 maggio 2005 il dr. __________ è giunto alle seguenti conclusioni: " (...) Valutazione &amp; procedere: I disturbi al ginocchio sinistro lamentati dal paziente sono quindi, molto probabilmente, da mettere in relazione alla plica sinoviale medio-patellare. Per il momento i disturbi sono sopportabili. Consiglio di aspettare prima di eseguire un eventuale intervento chirurgico. Se in futuro la sintomatologia dovesse veramente peggiorare si dovrà discutere un'artroscopia con resezione della plica sinoviale. Il paziente viene informato. Ulteriori controlli nel mio studio al bisogno." (Doc. 10-5+6 inc. LAINF) Nelle sue annotazioni 30 agosto 2005 il dr. __________ del SMR ha indicato: " Assicurato con stato da infortunio il 26.1.2000, valutato dalla __________ con espressione dei limiti funzionali e riconoscimento di una rendita del 27%. (stato da frattura collo femorale sinistro, stato da osteosintesi, stato da protesi totale anca sinistra, calcificazioni peritrocanteriche poi asportate; sindrome algica residua all'anca sinistra) Da parte nostra non sono stati constatati elementi extrainfortunistici. È stato sottoposto ad accertamenti professionali al __________, poi collocato in una ditta, il collocamento è stato interrotto perchè gli sono state affidate mansioni che non corrispondevano alle sue limitazioni. Il 01.03.2005 è stato di nuovo valutato dal medico __________, si è constatata una situazione invariata (nessun peggioramento, quindi conferma della rendita data). Inoltra dei documenti medici riguardanti disturbi al ginocchio sinistro, essi sono stati sottoposti alla __________, che dichiara questa patologia di tipo degenerativo, estranea all'infortunio (giustamente). Dalla descrizione dei sintomi nelle lettere dell'ortopedico curante attuale, risulta che si tratta di dolori sopportabili per i quali attualmente non è prevista una terapia, dovuti alla presenza di una plica sinoviale, si notano alla RM alcune alterazioni degenerative, ritenute dal curante non importanti. A mio avviso non comportano una restrizione dei limiti funzionali in base ai quali si è valutato finora l'A., e constatati dopo l'accertamento al __________." (Doc. AI 61-1) Quanto attestato dal dr. __________ il 10 gennaio 2005, il 21 febbraio 2005 e il 15 aprile 2005 in merito ad una borsite del grande trocantere e dolori al ginocchio sinistro (doc. 9-17, doc. 9-9, doc. 10-9 inc. LAINF) è già noto ed è stato già vagliato in ambito istruttorio __________, dove è stato accertato che i disturbi al ginocchio sinistro non sono una conseguenza dell’infortunio (doc. 10-1 inc. LAINF). Anche quanto certificato dal dr. __________ successivamente - 2 maggio 2005 e 30 agosto 2005 (doc. 10-5 inc. LAINF e doc. AI 61) – attesta una situazione invariata per quanto concerne l’anca sinistra, mentre che per i problemi al ginocchio sinistro il dr. __________ ha rilevato che “ per il momento i disturbi sono sopportabili ” e non necessitano di particolari terapie. Tale documentazione non è sufficiente per giungere ad una valutazione diversa da quella operata dall’amministrazione. Non vi sono in particolare validi motivi per ritenere un peggioramento della situazione invalidante. Infatti, come rilevato dal SMR, non si può ritenere che l’assicurato, alla luce di quanto certificato dal dr. __________, abbia presentato, perlomeno fino all’emissione della decisione impugnata, un’evoluzione della situazione ortopedica (disturbi al ginocchio sinistro dovuti ad una plica sinoviale) tale da sostanziare l’esistenza di un’incapacità lavorativa superiore a quella precedentemente accertata. Il dr. __________ ha infatti attestato che i disturbi erano, fino a quel momento, sopportabili e non necessitavano di una particolare terapia. Pertanto, ritenuto quanto sopra e che il dr. __________ si è espresso per un futuro probabile aumento dell’incapacità lavorativa al 50% nella professione di elettricista, senza nulla dire a proposito della capacità lavorativa in attività leggere adeguate rispettose dei limiti funzionali dell’assicurato, questo Tribunale non può che ritenere corretta la valutazione dell’assicuratore infortuni circa una completa esigibilità di attività leggere che presentino le caratteristiche dettate dal medico __________ nel suo rapporto 17 aprile 2002 (doc. 2-2 incarto LAINF) e pienamente confermata in data 1° marzo 2005 (doc. 9-6 incarto LAINF). Occorre qui ricordare che in merito alla valenza probatoria di un rapporto medico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criteri che le valutazioni specialistiche eseguite durante l’istruttoria __________ adempiono. 2.8.   In merito alle ripercussioni economiche del danno alla salute, con rapporto 23 gennaio 2004 il consulente in integrazione professionale ha evidenziato che alla luce dell’accertamento svolto dal __________ di __________ l’assicurato è in grado di conseguire un reddito presumibile minimo nel 2001 di fr. 43'941, valutazione quest’ultima restrittiva e severa che non valorizza l’esperienza e le competenze professionali dell’assicurato, ma che indicizza un profilo lucrativo generalizzato non qualificato semplice e ripetitivo nel settore industriale e artigianale. Il consulente ha poi rilevato di non promuovere nessuna specifica formazione visto che l’assicurato non ha né la motivazione, né il profilo adeguato e di non sostenere nessuna riduzione in quanto è esigibile che l’assicurato svolga attività sedentarie o in posizione parzialmente eretta. Infine, il consulente IP ha indicato che l’assicurato “ è un soggetto capace di reggere in modo autonomo un’attività lavorativa di tipo manuale; bisogna evitare che assuma posizioni statiche prolungate; è limitato a livello della manualità fine; non è determinato a riprendere una qualsivoglia adeguata attività lucrativa ”. Egli ha poi aggiunto che “ attività di consulenza, montaggio, applicazioni di sistemi d’allarme, fornitura, riparazioni a domicilio e/o laboratorio rappresentano a mio parere attività parallele che collimano perfettamente con gli interessi e il profilo dell’assicurato. Importante che l’assicurato superi con decisione e convinzione questo periodo di stallo ” (doc. AI 31-2). Nella decisione 20 settembre 2004 l’amministrazione, partendo da un reddito da valido di fr. 60'450 così come stabilito in ambito LAINF (doc. 3-3 inc. LAINF, che a sua volta si rifà a quanto attestato dal datore di lavoro, doc. 1-57 inc. LAINF), dato rimasto incontestato e dal reddito da invalido di fr. 43'941 stabilito dal consulente IP, ha determinato il grado di invalidità del 28% (doc. AI 49-2). Il ricorrente ha contestato il reddito da invalido stabilito dall’amministrazione (fr. 43'941), osservando che “ nessuna indicazione e/o aiuto è però stato dato circa questo tipo di attività, a dimostrazione che il tutto è basato su calcoli teorici, che non tengono assolutamente in considerazione le gravi limitazioni fisiche del ricorrente e questo in qualunque tipo di attività ” (doc. I). Al riguardo, va innanzitutto rilevato che la contestazione relativa alla mancata presa in considerazione delle “ gravi limitazioni fisiche del ricorrente ” non ha nessuna ragione d’essere, ritenuto che, come ampiamente visto in precedenza (cfr. consid. 2.7.), le stesse sono state accuratamente e dettagliatamente valutate in sede medica. Inoltre, quanto alla critica mossa dall’assicurato circa la mancata indicazione da parte dell’amministrazione del genere di attività adeguate ai suoi limiti funzionali ancora esigibili, va osservato che il consulente ha fatto riferimento al settore industriale e artigianale. Vero che egli non ha specificato in dettaglio le singole professioni, limitandosi ad indicare il ramo di occupazione (attività di consulenza, montaggio, applicazioni di sistemi d’allarme, fornitura, riparazioni a domicilio e/o laboratorio, doc. AI 31-2), ma è altrettanto vero che, conformemente alla giurisprudenza del TFA, di fronte ad un ampio ventaglio di attività semplici e ripetitive presenti sul mercato, è sufficiente che venga fatto riferimento alle tabelle statistiche salariali di quel settore (STFA inedita 5 giugno 2001 in re A, I 324/00, consid. 2b). Inoltre, il TFA in una sentenza del 25 febbraio 2003 (U 329-30/01) ha ribadito che se da una parte è compito dell’amministrazione rispettivamente del giudice indicare possibilità di lavoro concrete, dall’altra non vanno poste esigenze troppo elevate: " (…) 4.7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In quanto infondato su questo punto il ricorso di P.________ va quindi Respinto (…)" In casu, come visto, il consulente, sulla base delle risultanze mediche specialistiche, ha evidenziato che “ attività di consulenza, montaggio, applicazioni di sistemi d’allarme, fornitura, riparazioni a domicilio e/o laboratorio rappresentano a mio parere attività parallele che collimano perfettamente con gli interessi e il profilo dell’assicurato. Importante che l’assicurato superi con decisione e convinzione questo periodo di stallo ” (doc. AI 31-2). Visto quanto sopra, è da ritenere verosimile che il ricorrente disponga ancora di una residua capacità lavorativa nei menzionati settori. Infine,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Applicando in casu la succitata giurisprudenza del TFA, l’amministrazione ha quindi determinato un grado d’invalidità del 28%, che in realtà, effettuando correttamente il calcolo e l’arrotondamento, dovrebbe essere del 27%. Ora, va fatto presente che sulla base della comunicazione ricevuta da questo Tribunale nell’ambito di una procedura ricorsuale dinanzi al TFA, conclusasi con uno stralcio dai ruoli in seguito al ritiro del ricorso (cfr. STFA del 7 giugno 2006 nella causa C., U 56/03), da parte della Presidente della Corte federale, giudice Leuzinger - che il 28 aprile 2006 ha informato le parti (e questo Tribunale) che, citiamo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 - , nella determinazione del reddito da invalido occorre d’ora in poi applicare i valori nazionali (Tabella TA1) e non più quelli regionali (Tabella TA13) come sin’ora confermato dal TCA. Tale circostanza non ha alcuna ripercussione sul caso in esame. Essendo i valori nazionali maggiori di quelli regionali, il grado d’invalidità risulterebbe meno del 27% stabilito in base alla tabella TA13; in entrambi i casi il tasso d’incapacità al guadagno risulta essere inferiore al 40%. 2.9.   L’assicurato ha chiesto che venga esperita una perizia medico/attitudinale che tenga in considerazione il rifiuto dell’amministrazione di concedergli una riqualifica professionale. Ora,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KöIz/Häner, Verwaltungsverfahren und Verwaltungsrechtspflege des Bundes, pag. 47 n. 63, Gygi, Bundesverwaltungs­rechtspflege, 2° ed., pag. 274, si veda pure SVR 2003 IV Nr. 1; DTF 122 II 469 consid. 4a, 122 III 223 consid. 3c, 120 Ib 229 consid. 2b, 119 V 344 consid. 3c con riferimenti). In concreto, la fattispecie risulta sufficientemente chiara, senza che si renda necessario l’esperimento di ulteriori accertamenti. La richiesta dell’assicurato non può quindi essere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