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32.2005.129 vom 2. Mai 2006</w:t>
      </w:r>
    </w:p>
    <w:p>
      <w:r>
        <w:t>TI Tribunale d'appello, 2006-05-02, IT</w:t>
      </w:r>
    </w:p>
    <w:p>
      <w:r>
        <w:rPr>
          <w:b/>
        </w:rPr>
        <w:t xml:space="preserve">Quelle: </w:t>
      </w:r>
      <w:r>
        <w:t>https://mcp.opencaselaw.ch/entscheid/ti_gerichte_32.2005.129</w:t>
      </w:r>
    </w:p>
    <w:p>
      <w:r>
        <w:t>FR: TI_GERICHTE 32.2005.129 du 2 mai 2006</w:t>
      </w:r>
    </w:p>
    <w:p>
      <w:r>
        <w:t>IT: TI_GERICHTE 32.2005.129 del 2 maggio 2006</w:t>
      </w:r>
    </w:p>
    <w:p>
      <w:pPr>
        <w:pStyle w:val="Heading2"/>
      </w:pPr>
      <w:r>
        <w:t>Regeste</w:t>
      </w:r>
    </w:p>
    <w:p>
      <w:r>
        <w:t>L'assicurata non ha dimostrato un peggioramento del suo stato di salute nel periodo tra la perizia (cui va attribuita forza probatoria piena) e la decisione su opposizione. Confermato il rifiuto di prestazioni.</w:t>
      </w:r>
    </w:p>
    <w:p>
      <w:pPr>
        <w:pStyle w:val="Heading2"/>
      </w:pPr>
      <w:r>
        <w:t>Erwägungen</w:t>
      </w:r>
    </w:p>
    <w:p>
      <w:r>
        <w:rPr>
          <w:b/>
        </w:rPr>
        <w:t>E. 19</w:t>
      </w:r>
    </w:p>
    <w:p>
      <w:r>
        <w:t>luglio 2004, la perizia giudiziaria richiesta deve essere respinta; -   ne consegue che la decisione su opposizione impugnata va confermata e il ricorso respinto. Se alla luce degli accertamenti medici di carattere neurologico effettuati dopo la decisione su opposizione dovesse effettivamente emergere un peggioramento valetudinario del suo stato di salute l’assicurata potrà inoltrare una nuova domanda di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