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32.2004.14 vom 27. April 2004</w:t>
      </w:r>
    </w:p>
    <w:p>
      <w:r>
        <w:t>TI Tribunale d'appello, 2004-04-27, IT</w:t>
      </w:r>
    </w:p>
    <w:p>
      <w:r>
        <w:rPr>
          <w:b/>
        </w:rPr>
        <w:t xml:space="preserve">Quelle: </w:t>
      </w:r>
      <w:r>
        <w:t>https://mcp.opencaselaw.ch/entscheid/ti_gerichte_32.2004.14</w:t>
      </w:r>
    </w:p>
    <w:p>
      <w:r>
        <w:t>FR: TI_GERICHTE 32.2004.14 du 27 avril 2004</w:t>
      </w:r>
    </w:p>
    <w:p>
      <w:r>
        <w:t>IT: TI_GERICHTE 32.2004.14 del 27 aprile 2004</w:t>
      </w:r>
    </w:p>
    <w:p>
      <w:pPr>
        <w:pStyle w:val="Heading2"/>
      </w:pPr>
      <w:r>
        <w:t>Regeste</w:t>
      </w:r>
    </w:p>
    <w:p>
      <w:r>
        <w:t>Sentenza o decisione senza scheda</w:t>
      </w:r>
    </w:p>
    <w:p>
      <w:pPr>
        <w:pStyle w:val="Heading2"/>
      </w:pPr>
      <w:r>
        <w:t>Erwägungen</w:t>
      </w:r>
    </w:p>
    <w:p>
      <w:r>
        <w:rPr>
          <w:b/>
        </w:rPr>
        <w:t>E. 27</w:t>
      </w:r>
    </w:p>
    <w:p>
      <w:r>
        <w:t>mesi (ossia a partire dall'evasione di un atto di ricusa). In questa stessa pronunzia, il TFA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 (RAMI succitata) In dottrina viene menzionata la sentenza del 20 settembre 1995 nella causa A.L. del Tribunale delle assicurazioni del Canton Argovia, nella quale è stata riconosciuta una ritardata giustizia, trattandosi di un'autorità che aveva atteso più di 9 mesi prima di procedere ad ordinare un'ulteriore perizia (cfr. Kieser, Das Verwaltungsverfahren in der AHV und IV in: Schaffhauser/Schlauri, Verfahrensfragen in der Sozialversicherung, San Gallo 1996, p. 92s.) oppure quella datata 22 giugno 1998 del Tribunale amministrativo del Canton Nidwaldo, in cui l'amministrazione è stata (soltanto) biasimata per aver lasciato trascorrere più di un anno senza prendere alcuna decisione dopo ricezione di una perizia (cfr. Plädoyer 6/1998, p. 67). 2.5.   Il TFA ha poi stabilito, i n una sentenza pubblicata in SVR 2001 KV 38, p. 109s., che l'oggetto di un ricorso per denegata o ritardata giustizia é soltanto la verifica del preteso diniego o del preteso ritardo: il tribunale non può, quindi, decidere in merito alle prestazioni. Le prestazioni assicurative materiali, in effetti, non costituiscono l'oggetto litigioso di questa procedura. Questa giurisprudenza è da considerare valida anche sotto l’imperio dell’art. 56 cpv. 2 LPGA (cfr. Kieser, op. cit., art. 56 nota 12 pag. 56). Da ultimo va rilevato che, in caso di accoglimento di un ricorso per ritardata o denegata giustizia, il Tribunale ordina all’assicuratore sociale di concludere entro un termine ragionevole la procedura, rispettivamente di dar seguito alla chiesta misura (Kieser, Verwaltungsverfahren, nota 507 pag. 240, cfr. anche SVR 2001 KV 38 consid. 2b pag. 110). 2.6.   Oggetto del contendere è sapere se all’UAI può essere imputata una ritardata giustizia riguardo agli accertamenti da eseguire ordinati con la sentenza 30 luglio 2002 del TCA. Orbene, effettivamente da quando è stata resa la sentenza di rinvio è trascorso oltre un anno, ma non per motivi ingiustificati. Come è stato riportato al consid. 1.2, l’UAI ha dato seguito con sollecitudine agli accertamenti ordinati da questa Corte. Né può essere rimproverato all’amministrazione di aver procrastinato la procedura. Anzi, vista la complessità della fattispecie, essa ha disposto un accertamento pluridisciplinare. Che il SAM, con scritto 6 dicembre 2003, abbia convocato l’assicurata per il 5 gennaio 2004, dopo quasi sei mesi dall’incarico peritale del 24 giugno 2003, non è sicuramente circostanza imputabile all’amministrazione. Vero che dall’inoltro della domanda di prestazioni, avvenuta il 19 gennaio 2001 (doc. _), sono trascorsi oltre tre anni. Ma è altrettanto vero che durante questo lasso di tempo la particolarità della fattispecie ha necessitato diversi accertamenti medici e che la precedente decisione, emanata dall’UAI il 13 febbraio 2002, è stata fatta oggetto di ricorso al TCA, il quale ha poi reso una sentenza di rinvio per ulteriori accertamenti, oggetto del presente gravame. Tutto ciò ha evidentemente influito sui tempi procedurali. In simili circostanze, sulla scorta dei dettami giurisprudenziali e dottrinali precedentemente evocati, questo Tribunale ritiene che l'autorità amministrativa convenuta non si è resa colpevole di una ritardata giustizia nei confronti di __________. Va abbondanzialmente rilevato che, sulla scorta della perizia SAM e della valutazione SMR, l’amministrazione dovrebbe determinarsi in merito al diritto alla rendita entro un termine ragionevole.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