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32.2004.113 vom 9. November 2005</w:t>
      </w:r>
    </w:p>
    <w:p>
      <w:r>
        <w:t>TI Tribunale d'appello, 2005-11-09, IT</w:t>
      </w:r>
    </w:p>
    <w:p>
      <w:r>
        <w:rPr>
          <w:b/>
        </w:rPr>
        <w:t xml:space="preserve">Quelle: </w:t>
      </w:r>
      <w:r>
        <w:t>https://mcp.opencaselaw.ch/entscheid/ti_gerichte_32.2004.113</w:t>
      </w:r>
    </w:p>
    <w:p>
      <w:r>
        <w:t>FR: TI_GERICHTE 32.2004.113 du 9 novembre 2005</w:t>
      </w:r>
    </w:p>
    <w:p>
      <w:r>
        <w:t>IT: TI_GERICHTE 32.2004.113 del 9 novembre 2005</w:t>
      </w:r>
    </w:p>
    <w:p>
      <w:pPr>
        <w:pStyle w:val="Heading2"/>
      </w:pPr>
      <w:r>
        <w:t>Volltext</w:t>
      </w:r>
    </w:p>
    <w:p>
      <w:r>
        <w:t>Incarto n.32.2004.113</w:t>
      </w:r>
    </w:p>
    <w:p>
      <w:r>
        <w:t>rg/fz</w:t>
      </w:r>
    </w:p>
    <w:p>
      <w:r>
        <w:t>Lugano</w:t>
      </w:r>
    </w:p>
    <w:p>
      <w:r>
        <w:t>10 gennaio 2005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visto il ricorso del 9 dicembre 2004 di</w:t>
      </w:r>
    </w:p>
    <w:p>
      <w:r>
        <w:t>RI 1</w:t>
      </w:r>
    </w:p>
    <w:p>
      <w:r>
        <w:t>contro</w:t>
      </w:r>
    </w:p>
    <w:p>
      <w:r>
        <w:t>la decisione del 9 novembre 2005 dell'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richiamata l'ordinanza 10.12.04con la quale il Tribunale ha assegnato alla parte ricorrente il termine di 20 giorni per motivare e completare il ricorso (II);</w:t>
      </w:r>
    </w:p>
    <w:p>
      <w:r>
        <w:t>vista la lettera 04.01.04 dellRA 1 che comunica formalmente di ritirare il ricorso cautelare del 9.12.04" (III);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