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32.2003.13 vom 3. Februar 2003</w:t>
      </w:r>
    </w:p>
    <w:p>
      <w:r>
        <w:t>TI Tribunale d'appello, 2003-02-03, IT</w:t>
      </w:r>
    </w:p>
    <w:p>
      <w:r>
        <w:rPr>
          <w:b/>
        </w:rPr>
        <w:t xml:space="preserve">Quelle: </w:t>
      </w:r>
      <w:r>
        <w:t>https://mcp.opencaselaw.ch/entscheid/ti_gerichte_32.2003.13</w:t>
      </w:r>
    </w:p>
    <w:p>
      <w:r>
        <w:t>FR: TI_GERICHTE 32.2003.13 du 3 février 2003</w:t>
      </w:r>
    </w:p>
    <w:p>
      <w:r>
        <w:t>IT: TI_GERICHTE 32.2003.13 del 3 febbraio 2003</w:t>
      </w:r>
    </w:p>
    <w:p>
      <w:pPr>
        <w:pStyle w:val="Heading2"/>
      </w:pPr>
      <w:r>
        <w:t>Regeste</w:t>
      </w:r>
    </w:p>
    <w:p>
      <w:r>
        <w:t>Sentenza o decisione senza scheda</w:t>
      </w:r>
    </w:p>
    <w:p>
      <w:pPr>
        <w:pStyle w:val="Heading2"/>
      </w:pPr>
      <w:r>
        <w:t>Volltext</w:t>
      </w:r>
    </w:p>
    <w:p>
      <w:r>
        <w:t>Tessin Tribunale cantonale delle assicurazioni 03.02.2003 32.2003.13 Tessin Tribunale cantonale delle assicurazioni 03.02.2003 32.2003.13 Ticino Tribunale cantonale delle assicurazioni 03.02.2003 32.2003.13</w:t>
      </w:r>
    </w:p>
    <w:p>
      <w:r>
        <w:t>Sentenza o decisione senza scheda</w:t>
      </w:r>
    </w:p>
    <w:p>
      <w:r>
        <w:t>Raccomandata Incarto n. 32.2003.13 BS Lugano 3 febbraio 2003 In nome della Repubblica e Cantone del Ticino Il Tribunale cantonale delle assicurazioni composto dei giudici: Daniele Cattaneo, presidente, Raffaele Guffi, Ivano Ranzanici redattore: Marco Bischof , vicecancelliere segretario: Fabio Zocchetti statuendo sul ricorso del 20 gennaio 2003 di __________ contro le decisioni del 15 gennaio 2003 emanate da Ufficio assicurazione invalidità, 6501 Bellinzona 1 Caselle in materia di assicurazione federale per l'invalidità ritenuto in fatto ed in diritto -   che __________ ha impugnato mediante ricorso 20 gennaio 2003 due decisioni formali del 15 gennaio 2003 con cui l’Ufficio assicurazione invalidità (UAI) le ha assegnato una mezza rendita semplice d’invalidità, rispettivamente una rendita completiva per il marito e per i figli __________ e __________, con effetto retroattivo dal 1° agosto 2000 (la rendita per la figlia __________ è stata versata fino al 31 luglio 2002, cfr. doc. _); -   che il 1° gennaio 2003 è entrata in vigore la Legge federale sulla parte generale del diritto delle assicurazioni sociali (LPGA; RS 830.1). Ai sensi dell’art. 52 cpv. 1 LPGA le decisioni prolate in virtù dell’art. 49 LPGA possono essere impugnate entro trenta giorni mediante opposizione all’istanza che le ha notificate. In via di principio, questa norma di procedura entra in vigore immediatamente (DTF 117 V 93 consid. 6b, 112 V 360 consid. 4a; RAMI 1998 KV no. 37 pag. 316 consid. 3b). Ciò significa che tutte le decisioni emanate dopo il 1° gennaio 2003 sono rette dalla procedura di opposizione. Per quel che concerne il momento dell’emanazione della decisione è determinante la sua consegna alla posta (vedi DTF 119 V 95 consid. 4c) (cfr. lettera 29 novembre 2002 del TFA alle autorità di ricorso cantonali nel campo delle assicurazioni sociali); -   che la procedura d’opposizione si applica a tutti i campi delle assicurazioni sociali, ad eccezione della previdenza professionale; -   che per quanto concerne la materia che qui interessa, l’art. 1 LAI, nella versione in vigore dal 1° gennaio 2003, dispone che le disposizioni della LPGA (art. 1a –70) sono applicabili all’assicurazione per l’invalidità, sempre che la legge non preveda espressamente una deroga; -   che nel caso in esame, le decisioni dell’UAI di cui si chiede l'annullamento non hanno ancora fatto oggetto di una procedura di opposizione: il ricorso interposto contro di esse deve, pertanto, essere dichiarato irricevibile; -   che nelle decisioni impugnate rettamente l’amministrazione ha indicato, quali rimedi giuridici, la procedura di opposizione. Tuttavia, contrariamente a quanto scritto, competente per la ricezione dell’opposizione non è la Cassa cantonale di compensazione, ma l’UAI. Per questi motivi dichiara e pronuncia 1.-   Il ricorso 20 gennaio 2003 é irricevibile . § Gli atti sono trasmessi all’UAI affinché proceda nell'ambito delle sue competenze, rendendo una decisione su opposizione. 2.-   Non si percepisce tassa di giustizia, mentre le spese sono poste a carico dello Stato.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