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 vom 4. Dezember 2002</w:t>
      </w:r>
    </w:p>
    <w:p>
      <w:r>
        <w:t>TI Tribunale d'appello, 2002-12-04, IT</w:t>
      </w:r>
    </w:p>
    <w:p>
      <w:r>
        <w:rPr>
          <w:b/>
        </w:rPr>
        <w:t xml:space="preserve">Quelle: </w:t>
      </w:r>
      <w:r>
        <w:t>https://mcp.opencaselaw.ch/entscheid/ti_gerichte_32.2003.1</w:t>
      </w:r>
    </w:p>
    <w:p>
      <w:r>
        <w:t>FR: TI_GERICHTE 32.2003.1 du 4 décembre 2002</w:t>
      </w:r>
    </w:p>
    <w:p>
      <w:r>
        <w:t>IT: TI_GERICHTE 32.2003.1 del 4 dicembre 2002</w:t>
      </w:r>
    </w:p>
    <w:p>
      <w:pPr>
        <w:pStyle w:val="Heading2"/>
      </w:pPr>
      <w:r>
        <w:t>Regeste</w:t>
      </w:r>
    </w:p>
    <w:p>
      <w:r>
        <w:t>Sentenza o decisione senza scheda</w:t>
      </w:r>
    </w:p>
    <w:p>
      <w:pPr>
        <w:pStyle w:val="Heading2"/>
      </w:pPr>
      <w:r>
        <w:t>Erwägungen</w:t>
      </w:r>
    </w:p>
    <w:p>
      <w:r>
        <w:rPr>
          <w:b/>
        </w:rPr>
        <w:t>E. 28</w:t>
      </w:r>
    </w:p>
    <w:p>
      <w:r>
        <w:t>cpv. 1 LAI (RCC 1992 pag. 98 consid. 3a, RCC 1983 pag. 492 consid. 1c, RCC 1983 pag. 389 consid. 2b). 2.7.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 particolare si devono paragonare i fatti esistenti al momento della decisione precedente a quelli relativi all’istante della nuova decisione. Un provvedimento che si limita a confermare una prima decisione di rendita non è dunque sufficiente (DTF 105 V 29; Valterio, op. cit., p. 268). Tutto quanto riportato sopra riguardo alla nuova domanda nell’ambito delle rendite, come pure la procedura di revisione ex art. 41 LAI, vale anche, in via analogica, per quel che concerne le misure integrative (art. 8ss LAI) a patto che si tratti di prestazioni ricorrenti (Dauerleistungen) (cfr. DTF 105 V 73, 109 V 119, 113 V 22 consid. 3b e Meyer-Blaser, Rechtsprechung des Bundesgerichts zum IVG, Zurigo 1997, pag. 268). 2.8.   Nel caso in esame, avendo l'UAI emanato una decisione di non entrata in materia, unico punto di giudizio è quello a sapere se l'amministrazione ha rifiutato a buon diritto di esaminare il merito della richiesta. Occorre innanzitutto rilevare che l’assicurato, nonostante la formazione di verniciatore di carrozzeria appresa nel periodo 1977 – 1981 (cfr. domanda di prestazioni, doc. AI _), a causa dei postumi dell’incidente, non ha mai intrapreso tale professione, lavorando per diversi anni quale rappresentante. Nel 1998 egli ha iniziato l‘attività di consulente di vendita presso la __________ con un salario annuo di fr. 61'051.— (doc. AI _). Essendo dal punto di vista professionale pienamente integrato e non subendo alcuna perdita di guadagno, con decisione 26 aprile 1999, cresciuta in giudicato, l’UAI ha respinto la richiesta di provvedimenti professionali inoltrata dall’insorgente nel gennaio 1998 (doc. AI _). In data 31 luglio 2000 l’assicurato ha cessato il rapporto di lavoro con la __________ (V 2), per iniziare un’attività indipendente. Iscrittosi a Registro di commercio come ditta individuale, avente quale scopo sociale l’acquisto e la vendita di prodotti di pulizia, estintori ecc., il 23 settembre 2002 egli ha comunicato all’UAI di non avere dipendenti e che quindi si deve occupare di caricare e scaricare (per le consegne) bidoni da 10, 12 e 24 kg (doc. AI _). Con scritto 16 luglio 2002 il medico curante ha sostenuto un peggioramento della salute del suo paziente dovuto all’ “aggravarsi dello stato dell’articolazione tibiotarsica destra” , parzialmente rigida che procura dei “dolori al carico e difficoltà di deambulazione specie se deve trasportare pesi” con “ uno scarso rendimento in ore lavorative, dovendo di conseguenza sospendere il lavoro” (doc. AI _). 2.9.   Dall’esame degli atti non risulta essere sostanziata una rilevante modifica delle condizioni di salute, rispettivamente della capacità al guadagno dell’assicurato. Da una parte, durante la precedente procedura amministrativa, con rapporto 26 gennaio 1998 il medico curante aveva già evidenziato le notevoli difficoltà di deambulazione, reputando esigibile l’attività di rappresentante svolta dal suo paziente (doc. AI _). Dall’altra, non risulta alcun discapito economico e questo per i seguenti motivi. Innanzitutto occorre evidenziare come la nuova attività indipendente esercitata dall’assicurato mal si addice con i dolori a carico e le difficoltà di deambulazione attestati il 16 luglio 2002 dal dr. __________, visto che l’interessato, come dichiarato il 23 settembre 2002 (doc. AI _), deve trasportare e sollevare dei bidoni fino a 24 kg. Nella risposta di causa l’amministrazione ha quindi giustamente evidenziato di considerare la precedente attività di rappresentante presso la __________ più idonea allo stato di salute dell’insorgente. Del resto, come visto, egli ha lasciato la menzionata ditta non per motivi di salute, ma per mettersi in proprio. Pertanto,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se necessario in una nuova professione (DTF 113 V 28 consid. 4a e sentenze ivi citate; cfr. anche Meyer Blaser, Rechtsprechung des Bundesgericht zum IVG, Zurigo 1997, pag. 221), quale reddito da invalido per la determinazione dell’invalidità (cfr. consid. 2.3), fanno stato i fr. 61'051 percepiti dalla __________. Siccome quale verniciatore l’assicurato avrebbe potuto percepire da sano, secondo l’accertamento fatto dall’UAI, un salario annuo di fr. 49'702.— (doc. _), non vi è quindi nessuna incapacità al guadagno. Infine, va detto la nuova documentazione medica prodotta pendente causa dal dr. __________ non permette di giungere ad un diverso risultato. Vero che l’esito dell’esame diagnostico effettuato il 17 gennaio 2003, quindi dopo l’emissione della decisione contestata, ha accertato un’artrosi del tarso (doc. _). Tuttavia, a prescindere dal fatto che il giudice delle assicurazioni sociali valuta la legalità della decisione impugnata in base alla situazione di fatto e di diritto esistente al momento in cui essa è state resa (cfr. DTF 121 V 366 consid. 1b, 116 V 248 consid. 1a, 112 V 93 consid. 3, 99 V 102), in casu il 4 dicembre 2002, non è stata resa verosimile l’incidenza di tale affezione sul corretto svolgimento dell’attività di rappresentante, compatibile con lo stato di salute dell’assicurato. In conclusione, non avendo l'insorgente reso verosimile alcuna modifica rilevante della sua capacità di guadagno né delle proprie condizioni cliniche e/o economiche, la decisione di non entrata in materia non può che essere confermata, l'UAI avendo fatto buon uso della facoltà concessagli dall'art. 87 cpv. 4 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