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32.2002.73 vom 15. Mai 2002</w:t>
      </w:r>
    </w:p>
    <w:p>
      <w:r>
        <w:t>TI Tribunale d'appello, 2002-05-15, IT</w:t>
      </w:r>
    </w:p>
    <w:p>
      <w:r>
        <w:rPr>
          <w:b/>
        </w:rPr>
        <w:t xml:space="preserve">Quelle: </w:t>
      </w:r>
      <w:r>
        <w:t>https://mcp.opencaselaw.ch/entscheid/ti_gerichte_32.2002.73</w:t>
      </w:r>
    </w:p>
    <w:p>
      <w:r>
        <w:t>FR: TI_GERICHTE 32.2002.73 du 15 mai 2002</w:t>
      </w:r>
    </w:p>
    <w:p>
      <w:r>
        <w:t>IT: TI_GERICHTE 32.2002.73 del 15 maggio 2002</w:t>
      </w:r>
    </w:p>
    <w:p>
      <w:pPr>
        <w:pStyle w:val="Heading2"/>
      </w:pPr>
      <w:r>
        <w:t>Volltext</w:t>
      </w:r>
    </w:p>
    <w:p>
      <w:r>
        <w:t>Incarto n.32.2002.00073</w:t>
      </w:r>
    </w:p>
    <w:p>
      <w:r>
        <w:t>BS</w:t>
      </w:r>
    </w:p>
    <w:p>
      <w:r>
        <w:t>Lugano</w:t>
      </w:r>
    </w:p>
    <w:p>
      <w:r>
        <w:t>31 luglio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17 giugno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15 maggio 2002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viste le osservazioni 2 luglio 2002 allistanza di ripristino delleffetto sospensivo inoltrata dal ricorrente in cui lUAI rileva che i presupposti per una modifica del grado dinvalidità non sono chiaramente adempiuti e propone di retrocedere gli atti per un complemento istruttorio, specificando inoltre che la decisione contestata è da ritenere annullata indi per cui listanza di ripristino dell'effetto sospensivo diventa priva di oggetto (doc. _);</w:t>
      </w:r>
    </w:p>
    <w:p>
      <w:r>
        <w:t>richiamato lo scritto 12 luglio 2002 con cui l'avv. __________ ha dichiarato la propria adesione alla proposta dellamministrazione (doc. _);atteso che l'accordo intervenuto tra le parti può essere omologato in quanto conforme alla legge;</w:t>
      </w:r>
    </w:p>
    <w:p>
      <w:r>
        <w:t>considerato l'esito della procedura, appare giustificato riconoscere all'insorgente un'indennità per ripetibili di fr. 1'000.--;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