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32.2002.71 vom 16. Mai 2002</w:t>
      </w:r>
    </w:p>
    <w:p>
      <w:r>
        <w:t>TI Tribunale d'appello, 2002-05-16, IT</w:t>
      </w:r>
    </w:p>
    <w:p>
      <w:r>
        <w:rPr>
          <w:b/>
        </w:rPr>
        <w:t xml:space="preserve">Quelle: </w:t>
      </w:r>
      <w:r>
        <w:t>https://mcp.opencaselaw.ch/entscheid/ti_gerichte_32.2002.71</w:t>
      </w:r>
    </w:p>
    <w:p>
      <w:r>
        <w:t>FR: TI_GERICHTE 32.2002.71 du 16 mai 2002</w:t>
      </w:r>
    </w:p>
    <w:p>
      <w:r>
        <w:t>IT: TI_GERICHTE 32.2002.71 del 16 maggio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47</w:t>
      </w:r>
    </w:p>
    <w:p>
      <w:r>
        <w:t>n. 63, Gygi, Bundesverwaltungsrechtspflege, 2° ed., pag. 274, si veda pure DTF 122 II consid. 469 consid. 41; 122 III 223 consid. 3; 119 V 344 consid. 3c con riferimenti). Un tale modo di procedere non lede il diritto di essere sentito conformemente all'art. 29 cpv.2 Cost. (DTF 124 V 94 consid. 4b, 122 V 162 consid. 1d, 119 V 344 consid. 3c con riferimenti). Nel caso concreto, secondo il TCA, tale testimonianza non è necessaria, poiché, come detto al consid. 2.7, determinante per ammettere una prospettiva di avanzamento sono i passi concreti intrapresi in quella direzione, quale la frequentazione di corsi, l’inizio di studi e non “secondo l’ordinario corso delle cose” (cfr. doc. _). Ne consegue che si può rinunciare all’audizione della teste notificata dal ricorrente.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