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32.2002.53 vom 12. April 2002</w:t>
      </w:r>
    </w:p>
    <w:p>
      <w:r>
        <w:t>TI Tribunale d'appello, 2002-04-12, IT</w:t>
      </w:r>
    </w:p>
    <w:p>
      <w:r>
        <w:rPr>
          <w:b/>
        </w:rPr>
        <w:t xml:space="preserve">Quelle: </w:t>
      </w:r>
      <w:r>
        <w:t>https://mcp.opencaselaw.ch/entscheid/ti_gerichte_32.2002.53</w:t>
      </w:r>
    </w:p>
    <w:p>
      <w:r>
        <w:t>FR: TI_GERICHTE 32.2002.53 du 12 avril 2002</w:t>
      </w:r>
    </w:p>
    <w:p>
      <w:r>
        <w:t>IT: TI_GERICHTE 32.2002.53 del 12 aprile 2002</w:t>
      </w:r>
    </w:p>
    <w:p>
      <w:pPr>
        <w:pStyle w:val="Heading2"/>
      </w:pPr>
      <w:r>
        <w:t>Volltext</w:t>
      </w:r>
    </w:p>
    <w:p>
      <w:r>
        <w:t>Incarto n.32.2002.00053</w:t>
      </w:r>
    </w:p>
    <w:p>
      <w:r>
        <w:t>ZA/RG/cd</w:t>
      </w:r>
    </w:p>
    <w:p>
      <w:r>
        <w:t>Lugano</w:t>
      </w:r>
    </w:p>
    <w:p>
      <w:r>
        <w:t>26 settembre 2002</w:t>
      </w:r>
    </w:p>
    <w:p>
      <w:r>
        <w:t>In nomedella Repubblica e Cantonedel Ticino</w:t>
      </w:r>
    </w:p>
    <w:p>
      <w:r>
        <w:t>Il vicepresidentedel Tribunale cantonale delle assicurazioni</w:t>
      </w:r>
    </w:p>
    <w:p>
      <w:r>
        <w:t>Giudice  Raffaele Guffi</w:t>
      </w:r>
    </w:p>
    <w:p>
      <w:r>
        <w:t>con redattore:</w:t>
      </w:r>
    </w:p>
    <w:p>
      <w:r>
        <w:t>Zaccaria Akbas</w:t>
      </w:r>
    </w:p>
    <w:p>
      <w:r>
        <w:t>segretario:</w:t>
      </w:r>
    </w:p>
    <w:p>
      <w:r>
        <w:t>Fabio Zocchetti</w:t>
      </w:r>
    </w:p>
    <w:p>
      <w:r>
        <w:t>statuendo sul ricorso del 30 aprile 2002 di</w:t>
      </w:r>
    </w:p>
    <w:p>
      <w:r>
        <w:t>__________,</w:t>
      </w:r>
    </w:p>
    <w:p>
      <w:r>
        <w:t>contro</w:t>
      </w:r>
    </w:p>
    <w:p>
      <w:r>
        <w:t>la decisione del 12 aprile 2002emanata da</w:t>
      </w:r>
    </w:p>
    <w:p>
      <w:r>
        <w:t>Ufficio assicurazione invalidità,6501 Bellinzona 1,</w:t>
      </w:r>
    </w:p>
    <w:p>
      <w:r>
        <w:t>in materia di assicurazione federale per l'invalidità</w:t>
      </w:r>
    </w:p>
    <w:p>
      <w:r>
        <w:t>ritenuto,in fatto</w:t>
      </w:r>
    </w:p>
    <w:p>
      <w:r>
        <w:t>in diritto</w:t>
      </w:r>
    </w:p>
    <w:p>
      <w:r>
        <w:t>In caso di pagamento dello stipendio, alfine di verificare se l'assicurato era effettivamente inabile al lavoro in maniera rilevante, dev'essere stabilito d'ufficio con diligenza, se l'assicurato svolgeva le proprie usuali mansioni oppure se, a causa del danno alla salute, effettuava prestazioni limitate (consid. 4 non pubbl. di DTF 120 V 421; cfr. Meyer/Blaser, op. cit., p. 234).</w:t>
      </w:r>
    </w:p>
    <w:p>
      <w:r>
        <w:t>Per questi motivi</w:t>
      </w:r>
    </w:p>
    <w:p>
      <w:r>
        <w:t>dichiara e pronuncia</w:t>
      </w:r>
    </w:p>
    <w:p>
      <w:r>
        <w:t>Per il Tribunale cantonale delle assicurazioni</w:t>
      </w:r>
    </w:p>
    <w:p>
      <w:r>
        <w:t>Il vicepresidente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