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32.2002.41 vom 22. März 2002</w:t>
      </w:r>
    </w:p>
    <w:p>
      <w:r>
        <w:t>TI Tribunale d'appello, 2002-03-22, IT</w:t>
      </w:r>
    </w:p>
    <w:p>
      <w:r>
        <w:rPr>
          <w:b/>
        </w:rPr>
        <w:t xml:space="preserve">Quelle: </w:t>
      </w:r>
      <w:r>
        <w:t>https://mcp.opencaselaw.ch/entscheid/ti_gerichte_32.2002.41</w:t>
      </w:r>
    </w:p>
    <w:p>
      <w:r>
        <w:t>FR: TI_GERICHTE 32.2002.41 du 22 mars 2002</w:t>
      </w:r>
    </w:p>
    <w:p>
      <w:r>
        <w:t>IT: TI_GERICHTE 32.2002.41 del 22 marzo 2002</w:t>
      </w:r>
    </w:p>
    <w:p>
      <w:pPr>
        <w:pStyle w:val="Heading2"/>
      </w:pPr>
      <w:r>
        <w:t>Volltext</w:t>
      </w:r>
    </w:p>
    <w:p>
      <w:r>
        <w:t>Incarto n.32.2002.41</w:t>
      </w:r>
    </w:p>
    <w:p>
      <w:r>
        <w:t>bs/fz</w:t>
      </w:r>
    </w:p>
    <w:p>
      <w:r>
        <w:t>Lugano</w:t>
      </w:r>
    </w:p>
    <w:p>
      <w:r>
        <w:t>14 gennaio 2003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visto il ricorso del 5 aprile 2002 interposto da</w:t>
      </w:r>
    </w:p>
    <w:p>
      <w:r>
        <w:t>__________</w:t>
      </w:r>
    </w:p>
    <w:p>
      <w:r>
        <w:t>contro</w:t>
      </w:r>
    </w:p>
    <w:p>
      <w:r>
        <w:t>la decisione del 22 marzo 2002 emanata da</w:t>
      </w:r>
    </w:p>
    <w:p>
      <w:r>
        <w:t>Ufficio assicurazione invalidità,6501 Bellinzona 1 Caselle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10.06.02 presentata dalla parte convenuta (VIII);</w:t>
      </w:r>
    </w:p>
    <w:p>
      <w:r>
        <w:t>rilevato che in data odierna la parte ricorrente, sentite le spiegazioni del Tribunale cantonale delle assicurazioni, ha comunicato di ritirare il ricorso (cfr. verbale sub.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