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32.2002.33 vom 5. Februar 2002</w:t>
      </w:r>
    </w:p>
    <w:p>
      <w:r>
        <w:t>TI Tribunale d'appello, 2002-02-05, IT</w:t>
      </w:r>
    </w:p>
    <w:p>
      <w:r>
        <w:rPr>
          <w:b/>
        </w:rPr>
        <w:t xml:space="preserve">Quelle: </w:t>
      </w:r>
      <w:r>
        <w:t>https://mcp.opencaselaw.ch/entscheid/ti_gerichte_32.2002.33</w:t>
      </w:r>
    </w:p>
    <w:p>
      <w:r>
        <w:t>FR: TI_GERICHTE 32.2002.33 du 5 février 2002</w:t>
      </w:r>
    </w:p>
    <w:p>
      <w:r>
        <w:t>IT: TI_GERICHTE 32.2002.33 del 5 febbraio 2002</w:t>
      </w:r>
    </w:p>
    <w:p>
      <w:pPr>
        <w:pStyle w:val="Heading2"/>
      </w:pPr>
      <w:r>
        <w:t>Volltext</w:t>
      </w:r>
    </w:p>
    <w:p>
      <w:r>
        <w:t>Incarto n.32.2002.00033</w:t>
      </w:r>
    </w:p>
    <w:p>
      <w:r>
        <w:t>RG/sc</w:t>
      </w:r>
    </w:p>
    <w:p>
      <w:r>
        <w:t>Lugano</w:t>
      </w:r>
    </w:p>
    <w:p>
      <w:r>
        <w:t>8 maggio 2002</w:t>
      </w:r>
    </w:p>
    <w:p>
      <w:r>
        <w:t>In nomedella Repubblica e Cantonedel Ticino</w:t>
      </w:r>
    </w:p>
    <w:p>
      <w:r>
        <w:t>Il vicepresidentedel Tribunale cantonale delle assicurazioni</w:t>
      </w:r>
    </w:p>
    <w:p>
      <w:r>
        <w:t>Giudice Raffaele Guffi</w:t>
      </w:r>
    </w:p>
    <w:p>
      <w:r>
        <w:t>visto il ricorso del 8 marzo 2002 interposto da</w:t>
      </w:r>
    </w:p>
    <w:p>
      <w:r>
        <w:t>__________,</w:t>
      </w:r>
    </w:p>
    <w:p>
      <w:r>
        <w:t>rappr. da: __________,</w:t>
      </w:r>
    </w:p>
    <w:p>
      <w:r>
        <w:t>contro</w:t>
      </w:r>
    </w:p>
    <w:p>
      <w:r>
        <w:t>la decisione del 5 febbraio 2002emanata da</w:t>
      </w:r>
    </w:p>
    <w:p>
      <w:r>
        <w:t>Ufficio assicurazione invalidità,6501 Bellinzona 1 Caselle,</w:t>
      </w:r>
    </w:p>
    <w:p>
      <w:r>
        <w:t>in materia di assicurazione federale per l'invalidità</w:t>
      </w:r>
    </w:p>
    <w:p>
      <w:r>
        <w:t>letti ed esaminati gli atti;</w:t>
      </w:r>
    </w:p>
    <w:p>
      <w:r>
        <w:t>vista la risposta di causa 25 marzo 2002 con la quale l'UAI, ritenendo giustificato procedere ad ulteriori accertamenti medici, ha proposto il rinvio degli atti per un complemento istruttorio annullando la decisione impugnata (IV);</w:t>
      </w:r>
    </w:p>
    <w:p>
      <w:r>
        <w:t>richiamato lo scritto 8 aprile 2002 con cui l'insorgente ha manifestato il proprio accordo al rinvio della causa all'amministrazione precisando tuttavia la necessità di procedere ad una perizia pluridisciplinare (VI);</w:t>
      </w:r>
    </w:p>
    <w:p>
      <w:r>
        <w:t>viste le osservazioni 15 aprile 2002 dell'UAI nelle quali, evidenziato come appaia superfluo predisporre un esame pluridisciplinare, viene proposto l'esperimento di una perizia a cura del dott. __________, reumatologo, prevista per il giorno 22 maggio 2002 (VIII);</w:t>
      </w:r>
    </w:p>
    <w:p>
      <w:r>
        <w:t>richiamato lo scritto 24 aprile 2002 dell'insorgente il quale si dichiara d'accordo di sottoporsi all'esame peritale proposto dall'amministrazione rinunciando all'allestimento di una perizia pluridisciplinare, invitando nel contempo l'amministrazione a voler sottoporre al perito, per completezza, anche le patologie segnalate dal medico curante in sede d'istruttoria amministrativa (X);</w:t>
      </w:r>
    </w:p>
    <w:p>
      <w:r>
        <w:t>ritenuto che con osservazioni 30 aprile 2002 allo scritto 24 aprile 2002 dell'insorgente l'UAI propone lo stralcio della lite dai ruoli (XII);</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considerato l'esito della procedura, appare giustificato riconoscere all'insorgente un'indennità per ripetibili di fr. 1000.--;</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