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32.2002.125 vom 18. Oktober 2002</w:t>
      </w:r>
    </w:p>
    <w:p>
      <w:r>
        <w:t>TI Tribunale d'appello, 2002-10-18, IT</w:t>
      </w:r>
    </w:p>
    <w:p>
      <w:r>
        <w:rPr>
          <w:b/>
        </w:rPr>
        <w:t xml:space="preserve">Quelle: </w:t>
      </w:r>
      <w:r>
        <w:t>https://mcp.opencaselaw.ch/entscheid/ti_gerichte_32.2002.125</w:t>
      </w:r>
    </w:p>
    <w:p>
      <w:r>
        <w:t>FR: TI_GERICHTE 32.2002.125 du 18 octobre 2002</w:t>
      </w:r>
    </w:p>
    <w:p>
      <w:r>
        <w:t>IT: TI_GERICHTE 32.2002.125 del 18 ottobre 2002</w:t>
      </w:r>
    </w:p>
    <w:p>
      <w:pPr>
        <w:pStyle w:val="Heading2"/>
      </w:pPr>
      <w:r>
        <w:t>Volltext</w:t>
      </w:r>
    </w:p>
    <w:p>
      <w:r>
        <w:t>Incarto n.32.2002.00125</w:t>
      </w:r>
    </w:p>
    <w:p>
      <w:r>
        <w:t>rg/fz</w:t>
      </w:r>
    </w:p>
    <w:p>
      <w:r>
        <w:t>Lugano</w:t>
      </w:r>
    </w:p>
    <w:p>
      <w:r>
        <w:t>18 ottobre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23 settembre 2002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12.8.02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2 ottobre 2002 con cui l'UAI, ritenendo giustificato procedere ad ulteriori accertamenti economici, ha annullato la decisione impugnata e proposto il rinvio degli atti per un complemento istruttorio (V);</w:t>
      </w:r>
    </w:p>
    <w:p>
      <w:r>
        <w:t>richiamato lo scritto 13 maggio 2002 con cui il rappresentante della ricorrente dichiara di aderire alla proposta formulata dall'UAI (VII) e postula l'assegnazione di adeguate ripetibili ( (V);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