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32.2002.12 vom 13. Dezember 2001</w:t>
      </w:r>
    </w:p>
    <w:p>
      <w:r>
        <w:t>TI Tribunale d'appello, 2001-12-13, IT</w:t>
      </w:r>
    </w:p>
    <w:p>
      <w:r>
        <w:rPr>
          <w:b/>
        </w:rPr>
        <w:t xml:space="preserve">Quelle: </w:t>
      </w:r>
      <w:r>
        <w:t>https://mcp.opencaselaw.ch/entscheid/ti_gerichte_32.2002.12</w:t>
      </w:r>
    </w:p>
    <w:p>
      <w:r>
        <w:t>FR: TI_GERICHTE 32.2002.12 du 13 décembre 2001</w:t>
      </w:r>
    </w:p>
    <w:p>
      <w:r>
        <w:t>IT: TI_GERICHTE 32.2002.12 del 13 dicembre 2001</w:t>
      </w:r>
    </w:p>
    <w:p>
      <w:pPr>
        <w:pStyle w:val="Heading2"/>
      </w:pPr>
      <w:r>
        <w:t>Regeste</w:t>
      </w:r>
    </w:p>
    <w:p>
      <w:r>
        <w:t>Sentenza o decisione senza scheda</w:t>
      </w:r>
    </w:p>
    <w:p>
      <w:pPr>
        <w:pStyle w:val="Heading2"/>
      </w:pPr>
      <w:r>
        <w:t>Erwägungen</w:t>
      </w:r>
    </w:p>
    <w:p>
      <w:r>
        <w:rPr>
          <w:b/>
        </w:rPr>
        <w:t>E. 1</w:t>
      </w:r>
    </w:p>
    <w:p>
      <w:r>
        <w:t>Purtroppo la diagnosi di depressione non risulta sul rapporto AI del 28.04.2001, per una mia dimenticanza, in quanto nel redigere lo stesso mi sono riferito maggiormente alla lettera d’uscita di __________.</w:t>
      </w:r>
    </w:p>
    <w:p>
      <w:r>
        <w:rPr>
          <w:b/>
        </w:rPr>
        <w:t>E. 2</w:t>
      </w:r>
    </w:p>
    <w:p>
      <w:r>
        <w:t>Lo stato depressivo ansioso reattivo risale al periodo autunnale 1999, allorquando si è manifestata una grave malattia presso la madre, che ha comportato una lunga e interminabile ospedalizzazione della stessa in diversi ospedali, con conseguenze sulla dinamica familiare e abbattimento morale dell’assicurato stesso il quale soffriva di insonnia, angoscia e demotivazione.</w:t>
      </w:r>
    </w:p>
    <w:p>
      <w:r>
        <w:rPr>
          <w:b/>
        </w:rPr>
        <w:t>E. 3</w:t>
      </w:r>
    </w:p>
    <w:p>
      <w:r>
        <w:t>L’incidenza sulla capacità lavorativa è di ca. il 50% globalmente, tenendo conto pure dei sintomi algici – tensionali”. (Doc. _). Ora, nel rapporto 28 aprile 2001 all’UAI, il dr. __________ aveva in effetti indicato che al suo paziente venivano somministrati degli antidepressivi per la terapia del dolore cronico (doc. AI _), per cui, nonostante la dimenticanza di cui sopra, non è da escludere che l’assicurato possa essere portatore di una patologia psichica. La recente attestazione del medico curante al TCA, resa non da una specialista nella materia che ci interessa, non fornisce tuttavia un quadro sufficientemente approfondito  dello status psichico, come pure delle ripercussioni sulla capacità lucrativa. In queste circostanze, secondo questa Corte, appare necessario che l’amministrazione proceda ad un complemento istruttorio (perizia psichiatrica), affinché venga accertato se ed in che misura l’affezione psichica di __________ influisce sulla capacità lavorativa nella sua precedente attività o in un’altra attività confacente al suo stato di salute. Sulla base delle risultanze peritali l’UAI determinerà poi globalmente il grado d’incapacità al guadagno dell’assicurato, tenendo conto quindi anche della valutazione del SMR. Pertanto, l’incarto deve essere retrocesso all’amministrazione affinché proceda conformemente a quanto sopra indicato e renda un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