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32.2002.119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https://mcp.opencaselaw.ch/entscheid/ti_gerichte_32.2002.119</w:t>
      </w:r>
    </w:p>
    <w:p>
      <w:r>
        <w:t>FR: TI_GERICHTE 32.2002.119 du 23 janvier 2003</w:t>
      </w:r>
    </w:p>
    <w:p>
      <w:r>
        <w:t>IT: TI_GERICHTE 32.2002.119 del 23 gennaio 2003</w:t>
      </w:r>
    </w:p>
    <w:p>
      <w:pPr>
        <w:pStyle w:val="Heading2"/>
      </w:pPr>
      <w:r>
        <w:t>Volltext</w:t>
      </w:r>
    </w:p>
    <w:p>
      <w:r>
        <w:t>Incarto n.32.2002.119</w:t>
      </w:r>
    </w:p>
    <w:p>
      <w:r>
        <w:t>rg/fz</w:t>
      </w:r>
    </w:p>
    <w:p>
      <w:r>
        <w:t>Lugano</w:t>
      </w:r>
    </w:p>
    <w:p>
      <w:r>
        <w:t>23 gennaio 2003</w:t>
      </w:r>
    </w:p>
    <w:p>
      <w:r>
        <w:t>In nomedella Repubblica e Cantonedel Ticino</w:t>
      </w:r>
    </w:p>
    <w:p>
      <w:r>
        <w:t>Il vicepresidente del Tribunale cantonale delle assicurazioni</w:t>
      </w:r>
    </w:p>
    <w:p>
      <w:r>
        <w:t>Giudice Raffaele Guffi</w:t>
      </w:r>
    </w:p>
    <w:p>
      <w:r>
        <w:t>visto il ricorso del 2 settembre 2002 interposto da</w:t>
      </w:r>
    </w:p>
    <w:p>
      <w:r>
        <w:t>__________</w:t>
      </w:r>
    </w:p>
    <w:p>
      <w:r>
        <w:t>contro</w:t>
      </w:r>
    </w:p>
    <w:p>
      <w:r>
        <w:t>la decisione 2.08.02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rilevato che la parte ricorrente con scritto 22.01.03 comunica di ritirare il gravame, avendole la Cassa, nel frattempo, intimato una nuova decisione che accoglie le richieste ricorsuali (V);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