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32.2001.99 vom 15. Oktober 2001</w:t>
      </w:r>
    </w:p>
    <w:p>
      <w:r>
        <w:t>TI Tribunale d'appello, 2001-10-15, IT</w:t>
      </w:r>
    </w:p>
    <w:p>
      <w:r>
        <w:rPr>
          <w:b/>
        </w:rPr>
        <w:t xml:space="preserve">Quelle: </w:t>
      </w:r>
      <w:r>
        <w:t>https://mcp.opencaselaw.ch/entscheid/ti_gerichte_32.2001.99</w:t>
      </w:r>
    </w:p>
    <w:p>
      <w:r>
        <w:t>FR: TI_GERICHTE 32.2001.99 du 15 octobre 2001</w:t>
      </w:r>
    </w:p>
    <w:p>
      <w:r>
        <w:t>IT: TI_GERICHTE 32.2001.99 del 15 ottobre 2001</w:t>
      </w:r>
    </w:p>
    <w:p>
      <w:pPr>
        <w:pStyle w:val="Heading2"/>
      </w:pPr>
      <w:r>
        <w:t>Regeste</w:t>
      </w:r>
    </w:p>
    <w:p>
      <w:r>
        <w:t>Sentenza o decisione senza scheda</w:t>
      </w:r>
    </w:p>
    <w:p>
      <w:pPr>
        <w:pStyle w:val="Heading2"/>
      </w:pPr>
      <w:r>
        <w:t>Erwägungen</w:t>
      </w:r>
    </w:p>
    <w:p>
      <w:r>
        <w:rPr>
          <w:b/>
        </w:rPr>
        <w:t>E. 8</w:t>
      </w:r>
    </w:p>
    <w:p>
      <w:r>
        <w:t>e 9). Pertanto, alla luce delle risultanze della perizia- cui non può che essere attribuita forza probante piena conformemente ai succitati parametri giurisprudenziali (cfr. consid. 2.5) - è da ritenere dimostrato con la certezza richiesta nel campo delle assicurazioni sociali (cfr. DTF 121 V 208 consid. 6a; DTF 115 V 142 consid. 8b; SVR 1996 Nr. 85 pag. 269; SVR 1996 LPC Nr. 22 pag. 263ss RAMI 1994 pag. 210/211) che ____________ è pienamente abile al 100% in attività sedentarie ed in impieghi dove può rimanere seduta almeno la metà delle ore lavorative, rispettanti le indicazioni mediche. 2.7. Confermata dunque la piena esigibilità in simili attività sedentarie e leggere, al fine di determinare il grado d’invalidità, occorre procedere al raffronto dei redditi come esposto al consid. 2.3. Per quel che concerne il reddito da valido, dall’attestato 13 agosto 2000 del datore di lavoro risulta che nel 1999 la ricorrente ha percepito fr. 32'358,80 di salario (doc. AI _). Riguardo al reddito da invalido, considerato che l'assicurata non ha mai intrapreso un’attività in mansioni leggere, la relativa determinazione può essere ricavata dai dati statistici salariali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In applicazione dei succitati criteri, ne lla sentenza 4 settembre 2000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riportato su 41,9 ore, ammonterebbe a fr. 45'390 .‑‑ nel settore privato (rispettivamente fr. 47'929.‑‑ nel settore pubblico e privato) per gli uomini e a fr. 33'587.‑‑ (rispettivamente fr. 33'725.‑‑ ) per le donne. Ora, come visto, nel caso in esame il reddito di fr. 33'587.‑‑ si riferisce al 1998. Conformemente alla giurisprudenza federale (cfr. DTF 126 V 81 consid. 7a), questo importo, adeguato al 1999 in base all’indice dei salari nominali (cfr. “La vie économique 9/2001”, Tabella B10.3, pag. 85), ammonta a fr. 33’806.--- ( 33’587 x 2156 : 2142). Inoltre, applicando la riduzione di rendimento massima del 25% il salario da invalido corrisponde a fr. 25'354.-- (75% di 33’806). Pertanto, dal raffronto di tale reddito con quello da valido di fr. 32’359 emerge un’incapacità al guadagno del 21, 6 % (32'359 – 25’354 x 100 : 32'359), non conferente il diritto ad una rendita d’invalidità. Questo senza considerare gli adeguamenti che apporterebbero un aumento dei due redditi di riferimento per l'anno 2001 (anno in cui è stata emanata la decisione amministrativa e a cui è da riferire l'ammontare dei redditi ai fini del calcolo dell'invalidità), adeguamenti che verosimilmente non comporterebbero una determinante modifica del grado d’invalidità. In queste circostanze, dunque, la decisione contestata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