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32.2001.43 vom 29. November 2001</w:t>
      </w:r>
    </w:p>
    <w:p>
      <w:r>
        <w:t>TI Tribunale d'appello, 2001-11-29, IT</w:t>
      </w:r>
    </w:p>
    <w:p>
      <w:r>
        <w:rPr>
          <w:b/>
        </w:rPr>
        <w:t xml:space="preserve">Quelle: </w:t>
      </w:r>
      <w:r>
        <w:t>https://mcp.opencaselaw.ch/entscheid/ti_gerichte_32.2001.43</w:t>
      </w:r>
    </w:p>
    <w:p>
      <w:r>
        <w:t>FR: TI_GERICHTE 32.2001.43 du 29 novembre 2001</w:t>
      </w:r>
    </w:p>
    <w:p>
      <w:r>
        <w:t>IT: TI_GERICHTE 32.2001.43 del 29 novembre 2001</w:t>
      </w:r>
    </w:p>
    <w:p>
      <w:pPr>
        <w:pStyle w:val="Heading2"/>
      </w:pPr>
      <w:r>
        <w:t>Regeste</w:t>
      </w:r>
    </w:p>
    <w:p>
      <w:r>
        <w:t>Sentenza o decisione senza scheda</w:t>
      </w:r>
    </w:p>
    <w:p>
      <w:pPr>
        <w:pStyle w:val="Heading2"/>
      </w:pPr>
      <w:r>
        <w:t>Erwägungen</w:t>
      </w:r>
    </w:p>
    <w:p>
      <w:r>
        <w:rPr>
          <w:b/>
        </w:rPr>
        <w:t>E. 18</w:t>
      </w:r>
    </w:p>
    <w:p>
      <w:r>
        <w:t>ottobre 2000 , contenuta nel citato formulario 318.183, con cui la Cassa di compensazione le ha reso noto, prima dell'emanazione della decisione qui impugnata, il diritto dell'assicurato al pagamento retroattivo di rendite AI per il periodo 1.01.1997 – 30.11.2000 (cfr. doc. _). Inoltre va ricordato che il diritto alla restituzione si prescrive entro un anno dal giorno in cui l’assicuratore ha preso atto dell’indebito versamento, ma al più tardi in cinque anni dal versamento stesso (cfr. art. 52 cpv. 2 prima frase LAINF). Le decisioni contestate sono del 14 aprile 2001, per cui il diritto alla compensazione è stato esercitato tempestivamente. Ora, se in futuro dovesse essere accertata l’inesistenza del credito da restituzione, l’assicurazione infortuni sarà tenuta a versare al ricorrente quanto a suo tempo compensato. In tal senso, infatti, il marg. 4011 della citata Circolare prevede: " Se il tribunale delle assicurazioni competente in una procedura di ricorso dichiara inesistente o esistente solo in parte il diritto alla restituzione dell’assicuratore contro gli infortuni, quest’ultimo versa la somma in questione direttamente all’assicurato.” Pertanto, anche nell’ipotesi in cui venisse accertata l’inesistenza del credito di restituzione, l’assicurato non subirà alcun pregiudizio. In queste circostanze, dunque, la compensazione effettuata dall'UAI delle rendite arretrate con il credito in restituzione di prestazioni erogate dall’assicuratore contro gli infortuni appare corretta. 2.6.   Per quel che concerne il calcolo della rendita in oggetto, ricordato come siano applicabili per analogia le norme dell'AVS, va innanzitutto rilevato che se l'assicurato ha pagato sempre e regolarmente i contributi dovuti oppure se il suo periodo di contribuzione presenta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(rispettivamente d’invalidità) è determinato dagli anni di contribuzione, dai redditi dell’attività di lucrativa nonché dagli accrediti per compiti educativi o d’assistenza tra il 1° gennaio successivo alla data in cui l’avente diritto ha compiuto 20 anni e il 31 dicembre che precede l’insorgere dell’età conferente il diritto alla prestazione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dunque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2.7.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2.8.   Nel caso in esame, il periodo di contribuzione di __________, classe 1941, inizia il 1.1.1962 (1° gennaio susseguente il compimento del 20.o anno di età)  per terminare il 31.12.1996 (31 dicembre precedente l'anno in cui è sorta l'invalidità). Dall'estratto dei conti individuali, dove sono registrati i contributi versati, nonché dalla tabella di calcolo contenuti negli atti della Cassa di compensazione __________ (doc. _), la quale è competente per determinare la rendita (cfr. art. 60 cpv. 1 lett. b LAI), risulta che l'assicurato non ha nessuna lacuna contributiva. Di conseguenza, al ricorrente è stata riconosciuta la scala di rendita 44, che è la massiva prevista. 2.9.   Occorre ora verificare la determinazione del reddito annuo medio (RAM). Come già detto, il RAM è composto dalla somma risultante dai redditi da attività lucrativa e dagli accrediti per compiti di educazione computabili durante il proprio periodo di contribuzione. In particolare non sono computati i redditi dell'anno in cui è sorto l'evento assicurato (art. 52c OAVS), né quelli compiuti prima del 1° gennaio che segue il compimento dei 20 anni (art. 52b OAVS: solo in caso di durata di contribuzione incompleta ai sensi dell'art. 29ter LAVS questi ultimi vengono calcolati). Nel caso di specie, la Cassa di compensazione ha sommato tutti i redditi da attività lucrativa iscritti nel conto individuale dell'assicurato relativi al periodo 1962 - 1996 giungendo così all'importo di fr. 1'060’868.--. La somma dei redditi da attività lucrativa deve essere rivalutata in funzione dell’indice previsto per l’adeguamento delle rendite all’evoluzione dei prezzi e dei salari di cui all’art. 33 ter LAVS (cfr. rinvio dell'art.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 LAVS, art. 51bis OAVS) e varia a seconda della prima registrazione sul conto individuale determinante per la rendita. Nel caso che ci occupa, la prima registrazione determinante nel conto individuale dell'assicurato è avvenuta nel 1962. Pertanto, dalle citate tavole il fattore di rivalutazione al 1997 (anno in cui è sorto il diritto alla rendita) risulta essere l'1.574 e quindi i redditi rivalutati ammontano a fr. 1'669’807.--. L'importo rivalutato va poi diviso per i 35 anni di contribuzione ciò che corrisponde ad un reddito annuo medio di fr. 47'709.--. All’assicurato sono stati inoltre riconosciuti 22 mezzi accrediti per compiti educativi pari ad una media di fr. 11’258.--. Da rilevare che l’accredito per compiti educativi assegnato alle persone coniugate durante gli anni civili di matrimonio è ripartito per metà tra i coniugi (art. 29 sexies cpv. 3 LAVS). Ne consegue che il reddito annuo medio complessivo della rendita corrisponde a fr. 59’967.-- (47'709+ 11’258.--) che, arrotondato all’importo immediatamente superiore secondo le tabelle UFAS, ammonta a fr. 59’700.--. Di conseguenza la rendita intera calcolata con l’ausilio delle citate tabelle e sulla base di una scala di rendita 44 ed un RAM di fr. 59’700.--, ammonta a fr. 1’832.--.  Avendo __________ diritto ad una mezza rendita AI la stessa risulta essere dunque di fr. 916.—. Contestualmente al ricorrente è stata riconosciuta una rendita completiva per la moglie corrispondente al 30% della rendita principale (art. 38 cpv.1 LAI). Essendo la moglie del ricorrente nata il 20 giugno 1936, nel 1998 ha compiuto i 62 anni e quindi è beneficiaria di una rendita AVS (cfr. 21 cpv. 1 lett. b LAVS nel tenore allora in vigore ). La Cassa ha dunque proceduto alla ripartizione dei redditi coniugali come prescritto dall’art. 29 quinquies cpv. 3 LAVS, ciò che ha causato una “riduzione” della rendita AI. Infatti, dal 1° luglio 1998 la rendita AI del ricorrente risulta essere di fr. 756.— (rivalutata a fr. 764 dal 1999 e a fr. 783.-- dal 2001), affiancata dalla rendita AVS della moglie. Nel caso di specie, dopo attento esame degli atti dell'in­carto, questo TCA non può quindi che confermare l'esattezza del calcolo operato dalla convenuta in quanto la rendita è stata stabilita in conformità alle norme surriferite. 2.10.   L'assicurato, infine, ha osservato che quanto percepito dall'AI non gli basta per coprire le spese. A riguardo va ricordato che egli può sempre chiedere - qualora non l'avesse già fatto - l'erogazione di una prestazione com­plementare. La domanda dovrà essere formulata su apposito modulo che può essere chiesto all'Agenzia comunale AVS del proprio comune di domicilio. Tale richiesta sarà accolta nella misura in cui il reddito determinante risulterà inferiore al limite imposto dalla legge.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